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岗位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清单</w:t>
      </w:r>
    </w:p>
    <w:tbl>
      <w:tblPr>
        <w:tblStyle w:val="6"/>
        <w:tblW w:w="16555" w:type="dxa"/>
        <w:jc w:val="center"/>
        <w:tblInd w:w="-1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165"/>
        <w:gridCol w:w="1366"/>
        <w:gridCol w:w="1300"/>
        <w:gridCol w:w="4519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65" w:type="dxa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1366" w:type="dxa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00" w:type="dxa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岗位数</w:t>
            </w:r>
          </w:p>
        </w:tc>
        <w:tc>
          <w:tcPr>
            <w:tcW w:w="4519" w:type="dxa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750" w:type="dxa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中国通用咨询投资有限公司</w:t>
            </w:r>
          </w:p>
        </w:tc>
        <w:tc>
          <w:tcPr>
            <w:tcW w:w="41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要为各地政府或国有企业落实国家战略部署、促进区域经济高质量发展和优化区域产业布局，以及围绕通用技术集团和国际公司主业领域，提供工程咨询服务、全链条产业服务、管理咨询服务、采购和供应链管理等全过程咨询服务，积极探索并致力成为国内一流的“知识型、智慧型、创新型全过程高端综合服务商”。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1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工程咨询领域业务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负责分管公司全过程工程咨询业务板块的经营发展、市场开发及一体化协同等相关工作，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1.具有建设工程领域重点项目的全过程咨询、项目管理工作经验和业绩。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2.具备较大型的业务团队管理经验。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3.具备较强的市场敏锐度，了解行业发展动态和趋势，善于把握市场机遇。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4.具备较强的决策判断、开拓创新、沟通协调、问题解决、跨文化管理能力。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能够适应较频繁国内、外出差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具备丰富市场开发资源者优先。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中国能源工程股份有限公司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要从事国际清洁能源及矿产业务，以大型发电项目为基石，大力开展清洁能源项目建设，发挥集投资、规划、设计、建设、运营等一体化服务优势，灵活运用EPC、“投建营”和“投建营退”等模式，积极参与属地国的传统能源电源和电网建设及升级改造项目，风电、光伏等新能源项目，以及矿产类项目。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zh-CN" w:eastAsia="zh-CN"/>
              </w:rPr>
              <w:t>1.协助总经理完成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海外能源矿产领域业务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zh-CN" w:eastAsia="zh-CN"/>
              </w:rPr>
              <w:t>市场建设及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zh-CN" w:eastAsia="zh-CN"/>
              </w:rPr>
              <w:t>规划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制定并组织实施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zh-CN" w:eastAsia="zh-CN"/>
              </w:rPr>
              <w:t>，深度挖掘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专业领域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zh-CN" w:eastAsia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培育核心竞争力。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2.负责承接分管业务年度经营任务指标并组织完成。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3.负责分管领域营销网络搭建、团队建设及管理机制优化。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4.负责分管业务的开发、执行。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分管领域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任务分解及日常管理。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.负责总经理交办的其他管理工作。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1.具有海外能源矿产领域大型工程、投建营项目开发、执行经验和业绩。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2.具备较大型的业务团队管理经验。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3.具备较强的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市场敏锐度，了解行业发展动态和趋势，善于把握市场机遇。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4.具备较强的决策判断、开拓创新、沟通协调、问题解决、跨文化管理能力。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5.能够适应较频繁国内、外出差，具备丰富市场开发资源者优先。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中国车辆进出口有限公司</w:t>
            </w:r>
          </w:p>
        </w:tc>
        <w:tc>
          <w:tcPr>
            <w:tcW w:w="41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要从事汽车流通领域，持续构建公共服务平台，具体业务包括汽车国际产能合作、涵盖新车、二手车、散件(KD)出口业务，以及国内整车供应链综合服务。公司是众多主机厂战略合作伙伴，也是中国百强经销商。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副总经理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国内业务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方向)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国内整车（含二手车）业务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1.具有汽车全局视野，熟悉国内汽车流通体系。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2.具备独立开发2个主机厂以上资源的经验。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3.具备较强的市场敏锐度，了解行业发展动态和趋势，善于把握市场机遇。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4.具备较强的决策判断、开拓创新、沟通协调、问题解决、跨文化管理能力。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能够适应较频繁国内、外出差，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具备网络建设、数字化转型经验优先。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副总经理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海外业务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方向)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出口业务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1.具有丰富的新车出口、二手车出口经验。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2.对主要出口区域认证标准有深刻的理解。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3.熟悉K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D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基本工艺，具有一定技术谈判能力。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4.具备较强的决策判断、开拓创新、沟通协调、问题解决、跨文化管理能力。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能够适应较频繁国内、外出差，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具有良好的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英语（或其他语种）沟通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能力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中技国际招标有限公司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主要致力于打造招标采购一体化综合服务平台，提供贯穿项目招标采购全链条的代理服务，提供信息流服务、电子招投标交易服务、策划咨询、融资中介等多种增值服务。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1.协助总经理完成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招标业务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市场建设及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发展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规划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制定并组织实施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，深度挖掘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专业领域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/>
              </w:rPr>
              <w:t>及行业机会，不断创新业务模式，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培育核心竞争力。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2.负责承接分管业务年度经营任务指标并组织完成。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3.负责分管领域营销网络搭建、团队建设及管理机制优化。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4.负责分管业务的开发、执行。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5.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分管领域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任务分解及日常管理。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.负责总经理交办的其他管理工作。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1.具有丰富的招标业务市场开拓经验，同时具有丰富的资源构建渠道。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熟悉招标采购法律法规，各种招标采购流程模式。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.具备较大型的业务团队管理经验。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.具备较强的市场敏锐度，了解行业发展动态和趋势，善于把握市场机遇。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.具备较强的决策判断、开拓创新、沟通协调、问题解决、跨文化管理能力。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能够适应较频繁国内、外出差，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具备丰富市场开发资源者优先。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180" w:right="1440" w:bottom="11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NkYTdhNzc3MjVjOTk4Zjk0MTJkNTQ0Mzk4MWYifQ=="/>
  </w:docVars>
  <w:rsids>
    <w:rsidRoot w:val="083B4C13"/>
    <w:rsid w:val="0040384A"/>
    <w:rsid w:val="00A65FA9"/>
    <w:rsid w:val="01DE6F58"/>
    <w:rsid w:val="03C40B78"/>
    <w:rsid w:val="03F03F63"/>
    <w:rsid w:val="083B4C13"/>
    <w:rsid w:val="0948708C"/>
    <w:rsid w:val="0B001140"/>
    <w:rsid w:val="0D036BDF"/>
    <w:rsid w:val="0DD8158C"/>
    <w:rsid w:val="0EE53C4F"/>
    <w:rsid w:val="0F48475D"/>
    <w:rsid w:val="0FA925DC"/>
    <w:rsid w:val="106B201B"/>
    <w:rsid w:val="151B276B"/>
    <w:rsid w:val="16826C72"/>
    <w:rsid w:val="168B22F6"/>
    <w:rsid w:val="1C656160"/>
    <w:rsid w:val="1CA603E3"/>
    <w:rsid w:val="1D352467"/>
    <w:rsid w:val="1ECB197E"/>
    <w:rsid w:val="224A4ED3"/>
    <w:rsid w:val="24B14AC8"/>
    <w:rsid w:val="299053F5"/>
    <w:rsid w:val="2E0B6F11"/>
    <w:rsid w:val="2FE23767"/>
    <w:rsid w:val="328130C4"/>
    <w:rsid w:val="32880C36"/>
    <w:rsid w:val="33252826"/>
    <w:rsid w:val="34391C34"/>
    <w:rsid w:val="35C07B5D"/>
    <w:rsid w:val="384128FF"/>
    <w:rsid w:val="3A365403"/>
    <w:rsid w:val="3B937E19"/>
    <w:rsid w:val="3BA42BE0"/>
    <w:rsid w:val="3EAA043E"/>
    <w:rsid w:val="3FB74B18"/>
    <w:rsid w:val="411E7CDD"/>
    <w:rsid w:val="43401887"/>
    <w:rsid w:val="481C3CBF"/>
    <w:rsid w:val="483E4375"/>
    <w:rsid w:val="4929547D"/>
    <w:rsid w:val="493E6788"/>
    <w:rsid w:val="4A393E40"/>
    <w:rsid w:val="4BC534BE"/>
    <w:rsid w:val="4C0B1E85"/>
    <w:rsid w:val="4E566F9F"/>
    <w:rsid w:val="4E6F3AE8"/>
    <w:rsid w:val="5053638D"/>
    <w:rsid w:val="51644C07"/>
    <w:rsid w:val="51921D32"/>
    <w:rsid w:val="52951FB0"/>
    <w:rsid w:val="52E65941"/>
    <w:rsid w:val="5A185705"/>
    <w:rsid w:val="5AAD6302"/>
    <w:rsid w:val="602B7DEC"/>
    <w:rsid w:val="61307664"/>
    <w:rsid w:val="6291334F"/>
    <w:rsid w:val="631E2389"/>
    <w:rsid w:val="63B00CFA"/>
    <w:rsid w:val="642C1AB2"/>
    <w:rsid w:val="652655F1"/>
    <w:rsid w:val="660C1F50"/>
    <w:rsid w:val="691774DF"/>
    <w:rsid w:val="69A5106C"/>
    <w:rsid w:val="6A2C4B72"/>
    <w:rsid w:val="6F731CF2"/>
    <w:rsid w:val="73574903"/>
    <w:rsid w:val="79F8634D"/>
    <w:rsid w:val="7C254242"/>
    <w:rsid w:val="7CD1566B"/>
    <w:rsid w:val="7E7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1882</Words>
  <Characters>1952</Characters>
  <Lines>0</Lines>
  <Paragraphs>0</Paragraphs>
  <TotalTime>0</TotalTime>
  <ScaleCrop>false</ScaleCrop>
  <LinksUpToDate>false</LinksUpToDate>
  <CharactersWithSpaces>1952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2023-06-09T08:53:00Z</dcterms:created>
  <dc:creator>Lu</dc:creator>
  <cp:lastModifiedBy>许润</cp:lastModifiedBy>
  <dcterms:modified xsi:type="dcterms:W3CDTF">2023-06-13T00:44:38Z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3B98753B6D99496094DAE2101F9200F9_13</vt:lpwstr>
  </property>
</Properties>
</file>