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方正小标宋_GBK" w:hAnsi="方正小标宋_GBK" w:eastAsia="方正小标宋_GBK" w:cs="宋体"/>
          <w:sz w:val="36"/>
          <w:szCs w:val="36"/>
        </w:rPr>
      </w:pPr>
      <w:bookmarkStart w:id="0" w:name="_GoBack"/>
      <w:bookmarkEnd w:id="0"/>
    </w:p>
    <w:p>
      <w:pPr>
        <w:ind w:firstLine="0" w:firstLineChars="0"/>
        <w:jc w:val="center"/>
        <w:rPr>
          <w:rFonts w:ascii="方正小标宋_GBK" w:hAnsi="方正小标宋_GBK" w:eastAsia="方正小标宋_GBK" w:cs="宋体"/>
          <w:sz w:val="36"/>
          <w:szCs w:val="36"/>
        </w:rPr>
      </w:pPr>
      <w:r>
        <w:rPr>
          <w:rFonts w:hint="eastAsia" w:ascii="方正小标宋_GBK" w:hAnsi="方正小标宋_GBK" w:eastAsia="方正小标宋_GBK" w:cs="宋体"/>
          <w:sz w:val="36"/>
          <w:szCs w:val="36"/>
        </w:rPr>
        <w:t>第五届中央企业优秀故事、优秀组织单位</w:t>
      </w:r>
      <w:r>
        <w:rPr>
          <w:rFonts w:hint="eastAsia" w:ascii="方正小标宋_GBK" w:hAnsi="方正小标宋_GBK" w:eastAsia="方正小标宋_GBK" w:cs="宋体"/>
          <w:sz w:val="36"/>
          <w:szCs w:val="36"/>
          <w:lang w:eastAsia="zh-CN"/>
        </w:rPr>
        <w:t>获奖</w:t>
      </w:r>
      <w:r>
        <w:rPr>
          <w:rFonts w:hint="eastAsia" w:ascii="方正小标宋_GBK" w:hAnsi="方正小标宋_GBK" w:eastAsia="方正小标宋_GBK" w:cs="宋体"/>
          <w:sz w:val="36"/>
          <w:szCs w:val="36"/>
        </w:rPr>
        <w:t>名单</w:t>
      </w:r>
    </w:p>
    <w:p>
      <w:pPr>
        <w:spacing w:before="313" w:beforeLines="100" w:after="313" w:afterLines="100"/>
        <w:ind w:firstLine="720" w:firstLineChars="200"/>
        <w:jc w:val="center"/>
        <w:rPr>
          <w:rFonts w:ascii="等线" w:hAnsi="等线" w:eastAsia="等线" w:cs="等线"/>
          <w:color w:val="000000"/>
          <w:kern w:val="0"/>
          <w:sz w:val="22"/>
          <w:szCs w:val="22"/>
          <w:lang w:bidi="ar"/>
        </w:rPr>
      </w:pPr>
      <w:r>
        <w:rPr>
          <w:rFonts w:hint="eastAsia" w:ascii="宋体" w:hAnsi="宋体" w:eastAsia="宋体" w:cs="Times New Roman"/>
          <w:b/>
          <w:bCs/>
          <w:sz w:val="36"/>
        </w:rPr>
        <w:t>一等奖（图文18个，视频12个）</w:t>
      </w:r>
    </w:p>
    <w:tbl>
      <w:tblPr>
        <w:tblStyle w:val="6"/>
        <w:tblW w:w="9031" w:type="dxa"/>
        <w:tblInd w:w="0" w:type="dxa"/>
        <w:tblLayout w:type="fixed"/>
        <w:tblCellMar>
          <w:top w:w="0" w:type="dxa"/>
          <w:left w:w="108" w:type="dxa"/>
          <w:bottom w:w="0" w:type="dxa"/>
          <w:right w:w="108" w:type="dxa"/>
        </w:tblCellMar>
      </w:tblPr>
      <w:tblGrid>
        <w:gridCol w:w="912"/>
        <w:gridCol w:w="810"/>
        <w:gridCol w:w="5010"/>
        <w:gridCol w:w="2299"/>
      </w:tblGrid>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黑体" w:hAnsi="黑体" w:eastAsia="黑体" w:cs="黑体"/>
                <w:b/>
                <w:bCs/>
                <w:color w:val="000000"/>
                <w:sz w:val="28"/>
                <w:szCs w:val="28"/>
              </w:rPr>
            </w:pPr>
            <w:r>
              <w:rPr>
                <w:rFonts w:hint="eastAsia" w:ascii="黑体" w:hAnsi="黑体" w:eastAsia="黑体" w:cs="黑体"/>
                <w:b/>
                <w:bCs/>
                <w:color w:val="000000"/>
                <w:kern w:val="0"/>
                <w:sz w:val="28"/>
                <w:szCs w:val="28"/>
                <w:lang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sz w:val="28"/>
                <w:szCs w:val="28"/>
              </w:rPr>
            </w:pPr>
            <w:r>
              <w:rPr>
                <w:rFonts w:hint="eastAsia" w:ascii="黑体" w:hAnsi="黑体" w:eastAsia="黑体" w:cs="黑体"/>
                <w:b/>
                <w:bCs/>
                <w:color w:val="000000"/>
                <w:kern w:val="0"/>
                <w:sz w:val="28"/>
                <w:szCs w:val="28"/>
                <w:lang w:bidi="ar"/>
              </w:rPr>
              <w:t>类型</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sz w:val="28"/>
                <w:szCs w:val="28"/>
              </w:rPr>
            </w:pPr>
            <w:r>
              <w:rPr>
                <w:rFonts w:hint="eastAsia" w:ascii="黑体" w:hAnsi="黑体" w:eastAsia="黑体" w:cs="黑体"/>
                <w:b/>
                <w:bCs/>
                <w:color w:val="000000"/>
                <w:kern w:val="0"/>
                <w:sz w:val="28"/>
                <w:szCs w:val="28"/>
                <w:lang w:eastAsia="zh-CN" w:bidi="ar"/>
              </w:rPr>
              <w:t>作</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eastAsia="zh-CN" w:bidi="ar"/>
              </w:rPr>
              <w:t>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sz w:val="28"/>
                <w:szCs w:val="28"/>
              </w:rPr>
            </w:pPr>
            <w:r>
              <w:rPr>
                <w:rFonts w:hint="eastAsia" w:ascii="黑体" w:hAnsi="黑体" w:eastAsia="黑体" w:cs="黑体"/>
                <w:b/>
                <w:bCs/>
                <w:color w:val="000000"/>
                <w:kern w:val="0"/>
                <w:sz w:val="28"/>
                <w:szCs w:val="28"/>
                <w:lang w:bidi="ar"/>
              </w:rPr>
              <w:t>单</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位</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温暖这个寒冬</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爸爸，你再不回来，我就长大了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国家电力投资集团有限公司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茶云印记，那些闪亮的日子</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国家石油天然气管网集团有限公司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挑战0.02毫米</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中国宝武钢铁集团有限公司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领潮向未来</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5G赋能红色资源  为红色添亮色</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中国移动通信集团有限公司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“深海一号”：奋楫潮头向深蓝</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中国海洋石油集团有限公司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“矛盾”院士李俊贤</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中国中化控股有限责任公司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南方电网国旗巡线班：带着国旗去巡线</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中国南方电网有限责任公司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追光的新时代大唐“牧羊人”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中国大唐集团有限公司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胶州湾畔的温暖守护</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中国华电集团有限公司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逐梦星河导航路 中国北斗耀苍穹</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中国航天科技集团有限公司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手表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中国航空发动机集团有限公司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那个历经磨难的少年与顶天立地的中国</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中国核工业集团有限公司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红色电信记忆丨永不消逝的“半部电台”</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95598公里</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共和国“空天长城”最可靠的守护者</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中国航天科工集团有限公司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交纳100万元特殊党费，她是谁？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中国石油化工集团有限公司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传承的力量</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第二个家</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中国铝业集团有限公司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花开盛夏满金银</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“保利少年志”护航儿童梦想，助力乡村振兴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中国保利集团有限公司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挤出中国创造</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所爱跨山海</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中国中车集团有限公司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绘途新天路</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白鹤滩微电影——责任</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中国长江三峡集团有限公司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一个飞机设计师的故事</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中国航空工业集团有限公司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赓续“四特精神” 锻造“大国重器”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中国兵器装备集团有限公司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晓光</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中国石油天然气集团有限公司</w:t>
            </w:r>
          </w:p>
        </w:tc>
      </w:tr>
      <w:tr>
        <w:tblPrEx>
          <w:tblLayout w:type="fixed"/>
          <w:tblCellMar>
            <w:top w:w="0" w:type="dxa"/>
            <w:left w:w="108" w:type="dxa"/>
            <w:bottom w:w="0" w:type="dxa"/>
            <w:right w:w="108" w:type="dxa"/>
          </w:tblCellMar>
        </w:tblPrEx>
        <w:trPr>
          <w:trHeight w:val="6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党旗飘扬在中国航油之巅</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中国航空油料集团有限公司</w:t>
            </w:r>
          </w:p>
        </w:tc>
      </w:tr>
    </w:tbl>
    <w:p>
      <w:pPr>
        <w:spacing w:before="313" w:beforeLines="100" w:after="313" w:afterLines="100"/>
        <w:jc w:val="center"/>
      </w:pPr>
      <w:r>
        <w:rPr>
          <w:rFonts w:hint="eastAsia" w:ascii="宋体" w:hAnsi="宋体" w:eastAsia="宋体" w:cs="Times New Roman"/>
          <w:b/>
          <w:bCs/>
          <w:sz w:val="36"/>
        </w:rPr>
        <w:t>二等奖（图文20个，视频30个）</w:t>
      </w:r>
    </w:p>
    <w:tbl>
      <w:tblPr>
        <w:tblStyle w:val="6"/>
        <w:tblW w:w="9031" w:type="dxa"/>
        <w:tblInd w:w="0" w:type="dxa"/>
        <w:tblLayout w:type="fixed"/>
        <w:tblCellMar>
          <w:top w:w="0" w:type="dxa"/>
          <w:left w:w="108" w:type="dxa"/>
          <w:bottom w:w="0" w:type="dxa"/>
          <w:right w:w="108" w:type="dxa"/>
        </w:tblCellMar>
      </w:tblPr>
      <w:tblGrid>
        <w:gridCol w:w="897"/>
        <w:gridCol w:w="825"/>
        <w:gridCol w:w="4995"/>
        <w:gridCol w:w="2314"/>
      </w:tblGrid>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类型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eastAsia="zh-CN" w:bidi="ar"/>
              </w:rPr>
              <w:t>作</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eastAsia="zh-CN" w:bidi="ar"/>
              </w:rPr>
              <w:t>品</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单</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位</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她和月亮之间的缘分</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中国航天科技集团有限公司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1个人，1.2万平方公里的“无线”守护</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开创商业创新模式 传承航天发射精神</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中国航天科技集团有限公司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父辈的旗帜</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国家石油天然气管网集团有限公司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张国新的舰船梦</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中国船舶集团有限公司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初心筑梦，匠心传承</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舞动的工业芭蕾</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把“奋斗”二字刻在哀牢山——走近“全国劳模”缪沅振</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中国铝业集团有限公司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空中“姐妹花”和她们的“凌云壮志”</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中国南方航空集团有限公司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卢仁峰：焊花为大国重器闪耀</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为了盐穴里发出第一度电</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333333"/>
                <w:spacing w:val="0"/>
                <w:sz w:val="24"/>
                <w:szCs w:val="24"/>
                <w:shd w:val="clear" w:fill="FFFFFF"/>
              </w:rPr>
              <w:t>中国盐业集团有限公司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让钢铁洪流交响乐奏响在百岛之城</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用生命铸就丰碑</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中国储备粮管理集团有限公司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跨国师徒情</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新时代的愚公</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苗寨夜归人</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中国电力建设集团有限公司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恒心 恒星</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中国兵器装备集团有限公司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三代劳模逐梦乌东德</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中国能源建设集团有限公司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吕剑：人民兵工精神的践行者</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不为繁华易匠心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中国机械工业集团有限公司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一份特殊的礼物</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中国能源建设集团有限公司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暖心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转机</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中国南方航空集团有限公司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智能化采煤的践行者</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接好这一棒</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中国广核集团有限公司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三代铁建人 薪火家国情</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亮灯</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红柳礼赞</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八百里加急</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中国中车集团有限公司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映山红</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中国长江三峡集团有限公司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电力赋能新富春山居图</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铁人精神在马庄</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中国石油天然气集团有限公司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一杯好茶</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中国长江三峡集团有限公司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灯火照耀万家</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中国南方电网有限责任公司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穿过江海，让爱相遇</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海油相册·红色记忆④时间的答案</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中国海洋石油集团有限公司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一心 一事 一生</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中国暖流｜光伏板下的农场</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中国节能环保集团有限公司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72年 初心不变</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天路雄鹰</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动漫片——生机之渠</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中国南水北调集团有限公司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了不起的螺栓</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中国广核集团有限公司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用脚丈量亚洲第一座300米级深水导管架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中国海洋石油集团有限公司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匠心独运琢国器</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关键一“环”</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中国铝业集团有限公司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守护6000里外的味道</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中国宝武钢铁集团有限公司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检修日记</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我们的牵挂</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中国电子信息产业集团有限公司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冰雪之约</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老白的白茶梦</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bl>
    <w:p>
      <w:pPr>
        <w:spacing w:before="313" w:beforeLines="100" w:after="313" w:afterLines="100"/>
        <w:ind w:firstLine="720" w:firstLineChars="200"/>
        <w:jc w:val="center"/>
        <w:rPr>
          <w:rFonts w:ascii="宋体" w:hAnsi="宋体" w:eastAsia="宋体" w:cs="Times New Roman"/>
          <w:b/>
          <w:bCs/>
          <w:sz w:val="36"/>
        </w:rPr>
      </w:pPr>
      <w:r>
        <w:rPr>
          <w:rFonts w:hint="eastAsia" w:ascii="宋体" w:hAnsi="宋体" w:eastAsia="宋体" w:cs="Times New Roman"/>
          <w:b/>
          <w:bCs/>
          <w:sz w:val="36"/>
        </w:rPr>
        <w:t>三等奖（图文33个，视频57个）</w:t>
      </w:r>
    </w:p>
    <w:tbl>
      <w:tblPr>
        <w:tblStyle w:val="6"/>
        <w:tblW w:w="9052" w:type="dxa"/>
        <w:tblInd w:w="0" w:type="dxa"/>
        <w:tblLayout w:type="fixed"/>
        <w:tblCellMar>
          <w:top w:w="0" w:type="dxa"/>
          <w:left w:w="108" w:type="dxa"/>
          <w:bottom w:w="0" w:type="dxa"/>
          <w:right w:w="108" w:type="dxa"/>
        </w:tblCellMar>
      </w:tblPr>
      <w:tblGrid>
        <w:gridCol w:w="897"/>
        <w:gridCol w:w="840"/>
        <w:gridCol w:w="4980"/>
        <w:gridCol w:w="2335"/>
      </w:tblGrid>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类型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eastAsia="zh-CN" w:bidi="ar"/>
              </w:rPr>
              <w:t>作</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eastAsia="zh-CN" w:bidi="ar"/>
              </w:rPr>
              <w:t>品</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单</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位</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一封写了十年的家信</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生命最后一刻，他抬手指向天空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中国航天科技集团有限公司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三把“金钥匙” 开启“创新创效”之门</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中国机械工业集团有限公司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致敬！雪域群山间的扶贫“战士”——都吉</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中国铝业集团有限公司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一块煤的新征程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筑路“一带一路”，中老友谊之花盛放</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千淘万漉虽辛苦 吹尽黄沙始到金</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中国宝武钢铁集团有限公司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白杨礼赞</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叶国安：板凳甘坐数年冷 上下求索梦成真</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中国核工业集团有限公司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雪域高原的青春模样</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中国石油天然气集团有限公司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服务雄安设计 筑梦未来之城</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中国建设科技有限公司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“掘”不止步</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高空舞者</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为国争光，神鹰碳纤维背后的故事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中国建材集团有限公司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何小虎：以匠心铸航天重器</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中国航天科技集团有限公司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光阴切片中定格的华年</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333333"/>
                <w:spacing w:val="0"/>
                <w:sz w:val="24"/>
                <w:szCs w:val="24"/>
                <w:shd w:val="clear" w:fill="FFFFFF"/>
              </w:rPr>
              <w:t>中国电子科技集团有限公司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铁龙筑梦 湄澜相连 ——中国电建参建中老铁路纪实</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中国电力建设集团有限公司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杜兵建：用匠心托起生命的希望</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中国煤炭地质总局</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冬奥“幕后故事”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鹏龙，我们接你回家</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中国石油化工集团有限公司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我为祖国做道“填空题”</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砺剑·惊涛</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吉学勇：与圣火同行的“双奥”飞行员</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供电所里的351张地图</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中国南方电网有限责任公司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抢救回国圆明园兽首，镌刻保国利民初心</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中国保利集团有限公司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三十年，一件事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中国广核集团有限公司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“有温度”的纪检人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中国远洋海运集团有限公司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青托人才刘圆圆：选择航天是我的幸运</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强军路上的追梦人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走向深蓝的“兵工人”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驰骋千尺井下 书写奋斗华章</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中国有色矿业集团有限公司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高原戈壁女站长</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中国大唐集团有限公司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图文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金山下，牧民们过上数智新生活</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中国移动通信集团有限公司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中国飞航·鹰击长空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中国航天科工集团有限公司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一根登上央视的钢管</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中国电气装备集团有限公司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中隧梦的X度</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海油楷模——海油工程“深海一号”项目团队</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中国海洋石油集团有限公司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微电影——快掘先锋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中国煤炭科工集团有限公司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微电影——重逢</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中国煤炭科工集团有限公司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治水行者</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中国长江三峡集团有限公司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“疫”境中的坚守</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国家石油天然气管网集团有限公司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两河口记忆</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国家开发投资集团有限公司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爸爸的罗家坪</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中国石油天然气集团有限公司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一封家书</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中国能源建设集团有限公司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红耀创新路</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中国机械科学研究总院集团有限公司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了不起的中国创造——空中造楼机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修桥人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中国铁路工程集团有限公司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童年“辣”道光</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飞机的远程“听诊人”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中国南方航空集团有限公司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遇见光 遇见爱</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国家能源投资集团有限责任公司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动漫片——生态之渠</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中国南水北调集团有限公司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无声面馆</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中国联合网络通信集团有限公司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听藏区老乡说小康</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中国移动通信集团有限公司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走进新时代</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中国船舶集团有限公司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他们与冬奥</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中国能源建设集团有限公司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我的超能老爸</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微电影——无我：奉献篇</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中国煤炭科工集团有限公司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尽锐出战2021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平米之间</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冷·暖</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国家石油天然气管网集团有限公司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你是我逆风飞翔的翅膀</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舍得</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中国联合网络通信集团有限公司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平凡的坚守者，非凡的工匠人</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中国电子信息产业集团有限公司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给爸爸的一封信</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冈拉美朵</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中国远洋海运集团有限公司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帕米尔高原上的“翼”路守护者</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两平米的守望</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中国航空工业集团有限公司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回乡逐梦</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中国南方电网有限责任公司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你的样子</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中国石油化工集团有限公司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一条电话线</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雪儿</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追梦京雄线</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中国交通建设集团有限公司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马钢高铁车轮——零的突破</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中国宝武钢铁集团有限公司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74</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幸运女孩的追梦路</w:t>
            </w:r>
          </w:p>
        </w:tc>
        <w:tc>
          <w:tcPr>
            <w:tcW w:w="23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中国石油天然气集团有限公司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大山里的追光者</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中国华电集团有限公司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想要的礼物</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中国中车集团有限公司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粮仓里的中国系列视频</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中国储备粮管理集团有限公司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凉山矿业十二时辰</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中国铝业集团有限公司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我们的战“疫”</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中国医药集团有限公司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责任</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中国南方电网有限责任公司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65个第一</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中国东方航空集团有限公司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0.01毫米的较真</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中国广核集团有限公司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小孔书记的梦想</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第36只小手</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中国电信集团有限公司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山河见证</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中国铁道建筑集团有限公司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创新成就梦想</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中国兵器工业集团有限公司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“建证”马尔代夫“幸福家”</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中国建筑集团有限公司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匠心精神 薪火相传</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中国电气装备集团有限公司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戈壁红柳有远声</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国家石油天然气管网集团有限公司</w:t>
            </w:r>
          </w:p>
        </w:tc>
      </w:tr>
      <w:tr>
        <w:tblPrEx>
          <w:tblLayout w:type="fixed"/>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视频</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助力乡村振兴 共享多彩贵州</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中国移动通信集团有限公司</w:t>
            </w:r>
          </w:p>
        </w:tc>
      </w:tr>
    </w:tbl>
    <w:p>
      <w:pPr>
        <w:spacing w:before="313" w:beforeLines="100" w:after="313" w:afterLines="100"/>
        <w:jc w:val="center"/>
      </w:pPr>
      <w:r>
        <w:rPr>
          <w:rFonts w:hint="eastAsia" w:ascii="宋体" w:hAnsi="宋体" w:eastAsia="宋体"/>
          <w:b/>
          <w:bCs/>
          <w:sz w:val="36"/>
        </w:rPr>
        <w:t>优秀奖（图文8</w:t>
      </w:r>
      <w:r>
        <w:rPr>
          <w:rFonts w:hint="eastAsia" w:ascii="宋体" w:hAnsi="宋体" w:eastAsia="宋体"/>
          <w:b/>
          <w:bCs/>
          <w:sz w:val="36"/>
          <w:lang w:val="en-US" w:eastAsia="zh-CN"/>
        </w:rPr>
        <w:t>6</w:t>
      </w:r>
      <w:r>
        <w:rPr>
          <w:rFonts w:hint="eastAsia" w:ascii="宋体" w:hAnsi="宋体" w:eastAsia="宋体"/>
          <w:b/>
          <w:bCs/>
          <w:sz w:val="36"/>
        </w:rPr>
        <w:t>个</w:t>
      </w:r>
      <w:r>
        <w:rPr>
          <w:rFonts w:hint="eastAsia" w:ascii="宋体" w:hAnsi="宋体"/>
          <w:b/>
          <w:bCs/>
          <w:sz w:val="36"/>
        </w:rPr>
        <w:t>，</w:t>
      </w:r>
      <w:r>
        <w:rPr>
          <w:rFonts w:hint="eastAsia" w:ascii="宋体" w:hAnsi="宋体" w:eastAsia="宋体"/>
          <w:b/>
          <w:bCs/>
          <w:sz w:val="36"/>
        </w:rPr>
        <w:t>视频5</w:t>
      </w:r>
      <w:r>
        <w:rPr>
          <w:rFonts w:hint="eastAsia" w:ascii="宋体" w:hAnsi="宋体" w:eastAsia="宋体"/>
          <w:b/>
          <w:bCs/>
          <w:sz w:val="36"/>
          <w:lang w:val="en-US" w:eastAsia="zh-CN"/>
        </w:rPr>
        <w:t>4</w:t>
      </w:r>
      <w:r>
        <w:rPr>
          <w:rFonts w:hint="eastAsia" w:ascii="宋体" w:hAnsi="宋体" w:eastAsia="宋体"/>
          <w:b/>
          <w:bCs/>
          <w:sz w:val="36"/>
        </w:rPr>
        <w:t>个）</w:t>
      </w:r>
    </w:p>
    <w:tbl>
      <w:tblPr>
        <w:tblStyle w:val="6"/>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810"/>
        <w:gridCol w:w="498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widowControl/>
              <w:snapToGrid/>
              <w:contextualSpacing w:val="0"/>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810" w:type="dxa"/>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类型</w:t>
            </w:r>
          </w:p>
        </w:tc>
        <w:tc>
          <w:tcPr>
            <w:tcW w:w="4980" w:type="dxa"/>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eastAsia="zh-CN" w:bidi="ar"/>
              </w:rPr>
              <w:t>作</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eastAsia="zh-CN" w:bidi="ar"/>
              </w:rPr>
              <w:t>品</w:t>
            </w:r>
          </w:p>
        </w:tc>
        <w:tc>
          <w:tcPr>
            <w:tcW w:w="2355" w:type="dxa"/>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单</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widowControl/>
              <w:numPr>
                <w:ilvl w:val="-1"/>
                <w:numId w:val="0"/>
              </w:numPr>
              <w:snapToGrid w:val="0"/>
              <w:ind w:left="0" w:firstLine="0" w:firstLineChars="0"/>
              <w:contextualSpacing/>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战“疫”有责任 央企有担当</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中国诚通控股集团有限公司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在春城风雪中与生命赛跑</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中国铁道建筑集团有限公司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初心如炬映党旗 投身疫情最前线</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中国通用技术控股有限责任公司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煤矿安全梦 灼灼赤子心</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中国煤炭科工集团有限公司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贺兰百战炼劲旅 “急难险重”见担当</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深耕细作铸匠心 笃定前行精匠艺</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中国检验认证（集团）有限公司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在塞罕坝的绿色奇迹中注入“移动蓝”</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“火眼金睛”吕大师</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中国宝武钢铁集团有限公司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28天紧急任务</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中国诚通控股集团有限公司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徐彬：播撒阳光的种子</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中国大唐集团有限公司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破解海水淡化难题</w:t>
            </w:r>
            <w:r>
              <w:rPr>
                <w:rFonts w:hint="eastAsia" w:ascii="仿宋_GB2312" w:hAnsi="仿宋_GB2312" w:eastAsia="仿宋_GB2312" w:cs="仿宋_GB2312"/>
                <w:color w:val="FF0000"/>
                <w:sz w:val="24"/>
                <w:szCs w:val="24"/>
                <w:lang w:val="en-US" w:eastAsia="zh-CN"/>
              </w:rPr>
              <w:t xml:space="preserve"> </w:t>
            </w:r>
            <w:r>
              <w:rPr>
                <w:rFonts w:hint="eastAsia" w:ascii="仿宋_GB2312" w:hAnsi="仿宋_GB2312" w:eastAsia="仿宋_GB2312" w:cs="仿宋_GB2312"/>
                <w:color w:val="000000"/>
                <w:sz w:val="24"/>
                <w:szCs w:val="24"/>
              </w:rPr>
              <w:t>“膜”法科技为世界解渴</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中国中化控股有限责任公司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侯哥的“土味”人生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中国中煤能源集团有限公司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“四代机长”照亮“地下蛟龙”潜行之路</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中国铁道建筑集团有限公司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把脉城市清洁取暖 唱响蓝天保卫旋律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春在枝头已十分——记全国劳动模范郑桂杰</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中国华能集团有限公司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巾帼花开“新高地” 创新拼出“高颜值”</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中国兵器工业集团有限公司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十年磨一剑 “腈”益求精振兴民族产业</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中国化学工程集团有限公司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用桥梁谱绘绚丽人生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中国铁路工程集团有限公司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23人，23个日夜——生命方舱里的电建力量</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中国电力建设集团有限公司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实干是最好的担当</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中国有色矿业集团有限公司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孤勇中的追光者</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新兴际华集团有限公司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用创新铸就百年梦想</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中国电气装备集团有限公司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履行央企担当  守护人民安康</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中国冶金地质总局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乌山：用实干和担当谱写一曲在呼伦贝尔大草原上的动听赞歌</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中国黄金集团有限公司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我们不惧逆境，我们总会发光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中国广核集团有限公司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二两·父爱</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中国航空发动机集团有限公司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丹心擎神箭 寸意报家国</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驭风而来  乘风而上</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钱包鼓了 老乡笑了 我也更有干劲</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二十六年星路历程  与北斗同行</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大国工匠的“心事”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中国航空发动机集团有限公司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建设北方首条跨海沉管隧道</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中国交通建设集团有限公司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25年，“大海”用爱托起“大山”</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中国海洋石油集团有限公司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检测设备的“红色医生”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国家开发投资集团有限公司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“机车神医”张如意</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张玉强：昆仑山腹地的幸福使者</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国家开发投资集团有限公司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西港里的华电故事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中国华电集团有限公司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蓝天骄子的护航人</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史上最珍贵的“聘礼”</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“一拳一脚”干出来的“石油工匠”</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中国石油天然气集团有限公司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工笔匠心的“驯龙高手”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中国兵器工业集团有限公司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倚天铸剑起新程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油气宝藏“开锁记”</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中国石油化工集团有限公司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妙手回春！中煤长江人还木里碧水青山</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中国煤炭地质总局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810" w:type="dxa"/>
            <w:shd w:val="clear" w:color="auto" w:fill="auto"/>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从零分到百分的跨越</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中国华录集团有限公司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歌声里的梦想</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探空气球 为气象环境“搭脉”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中国中化控股有限责任公司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守护中国科考的每一次“乘风破浪”</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中国船舶集团有限公司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春天里“春花”艳</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中国石油天然气集团有限公司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核能领域的“移动充电宝”</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甜城会师</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为了春回大雁归</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中国医药集团有限公司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天问问天：坚守十载征火星，建党百年终梦圆</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扎根塔尔的“骆驼草”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防疫生产两不误 不负发展不负春</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中国国际技术智力合作集团有限公司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“君子结于一”——记有研粉材工程师朱学新</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有研科技集团有限公司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十年一遇的沙尘背后，他们调度守护东航航班</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中国东方航空集团有限公司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载人深潜“奋斗者”的故事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中国船舶集团有限公司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向大海要水喝</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爱在荒漠 无问西东</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良工巧匠 风鹏正举</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中国兵器工业集团有限公司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杨永修：刀锋上的“舞者”</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中国第一汽车集团有限公司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十堰的风</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东风汽车集团有限公司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十年磨一剑——高温堆蒸汽发生器生产制造</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哈尔滨电气集团有限公司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贡献东方力量 富一方百姓 美一方家园</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中国东方电气集团有限公司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“三精”辉映  璀璨“金洲”</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中国五矿集团有限公司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中国旅游集团助推肇兴景区旅游产业化迈出坚实步伐</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中国旅游集团有限公司[香港中旅有限公司]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sz w:val="24"/>
                <w:szCs w:val="24"/>
              </w:rPr>
              <w:t>家门口的战“疫”： 抗疫有我 同心守“沪</w:t>
            </w:r>
            <w:r>
              <w:rPr>
                <w:rFonts w:hint="eastAsia" w:ascii="仿宋_GB2312" w:hAnsi="仿宋_GB2312" w:eastAsia="仿宋_GB2312" w:cs="仿宋_GB2312"/>
                <w:color w:val="000000"/>
                <w:sz w:val="24"/>
                <w:szCs w:val="24"/>
                <w:lang w:eastAsia="zh-CN"/>
              </w:rPr>
              <w:t>”</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中国商用飞机有限责任公司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默默耕耘十六载  无闻贡献春夏秋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中国国际工程咨询有限公司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钱氏兄弟的稀土情怀</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中国稀土集团有限公司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我们，一定能做到！——大国重器之自主化C3列控系统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中国铁路通信信号集团有限公司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两栖“押镖队” 护航“巨无霸”——中国物流集团下属中特物流海陆联运闽粤联网工程换流变压器首发纪实</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助力乡村振兴 倾力驻村帮扶——通用医疗成飞医院何天秋驻村帮扶之路</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中国通用技术控股有限责任公司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大国大路大风采</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中国铁道建筑集团有限公司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sz w:val="24"/>
                <w:szCs w:val="24"/>
              </w:rPr>
              <w:t>胸怀“国之大者”的焊接专家林尚扬院士</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中国机械科学研究总院集团有限公司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强劲“中国心” 圆我强国梦</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中国兵器工业集团有限公司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援港保供的“湛钢速度”</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中国宝武钢铁集团有限公司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热血铸诚信 真情保履约</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中国铁道建筑集团有限公司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助力强国复兴——记航天三江万山公司高端重型工程运输装备项目团队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我们的故事向春天、向绿色、向未来</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中国大唐集团有限公司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教育扶贫路上的中坚力量</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中国电气装备集团有限公司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一片“丹心”向皖西</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中国铁道建筑集团有限公司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抗疫日记：做“大白”的一天</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中国大唐集团有限公司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帮扶教师的“扶智”路</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中国交通建设集团有限公司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u w:val="none"/>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提起“国家队</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底气，塑造智能掘进品牌</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中国煤炭科工集团有限公司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图文</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冬奥预风有“御风”</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国家电力投资集团有限公司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白鹤滩中的西电人</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中国电气装备集团有限公司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微电影</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无我</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责任篇</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中国煤炭科工集团有限公司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国之信者，献礼盛世全运</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奔跑的意义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梦想的守护</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中国国新控股有限责任公司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中原旭日</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中国电子信息产业集团有限公司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我们</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国家石油天然气管网集团有限公司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中国建材集团“禾苞蛋”助农直播纪实</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“数智移动 实事为民”系列微电影</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坚守与奉献——璀璨的物业人</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中国电子信息产业集团有限公司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创新为斧斩荆棘 虹舞江海立丰碑</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中国铁路工程集团有限公司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冬季保供 我们的答案</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国家石油天然气管网集团有限公司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星星点灯</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钢青年追梦</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鞍钢集团有限公司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海上追风</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中国能源建设集团有限公司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1982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2022，细数中国海油40个1</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中国海洋石油集团有限公司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风少年</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勇敢前行 为逆行者护航</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大国工匠——全国人大代表戴天方</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12年带出千名“外门”弟子</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中国能源建设集团有限公司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一个都不能少</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中粮集团有限公司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南航777 守卫空中动脉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让每个数据都值得被信赖</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中国钢研科技集团有限公司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嘎鲁的日记</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中国广核集团有限公司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中交玉磨成器</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中国交通建设集团有限公司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逐梦蓝海</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中国远洋海运集团有限公司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心若向阳，无畏艰难</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中国华电集团有限公司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关键时刻</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从用上电到用好电</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国家电网有限公司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鸟爸</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班旗</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中国石油化工集团有限公司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诶！老马</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国家电网有限公司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红土地的召唤</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中国船舶集团有限公司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冰与火之歌</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你的样子</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我们的一天</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联通青年自有光</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中国联合网络通信集团有限公司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传承</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你好，刘双建</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屹立在兵器战线上的“青松”</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中国兵器装备集团有限公司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焊卫</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大国工匠未晓朋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守岛人的五味人生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中国石油化工集团有限公司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护航</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中国南方航空集团有限公司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薪火</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半生</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中国远洋海运集团有限公司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追光圆梦</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冲破阴霾</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中国航天科技集团有限公司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深圳来电故事</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历史的回响</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中国融通资产管理集团有限公司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从“面条齐”到发明家</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中国第一汽车集团有限公司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抗击疫情有我在！电信人用速度告诉世界</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远山近情</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米粮人家的好邻居</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810"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视频</w:t>
            </w:r>
          </w:p>
        </w:tc>
        <w:tc>
          <w:tcPr>
            <w:tcW w:w="498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不要着急，我来帮你</w:t>
            </w:r>
          </w:p>
        </w:tc>
        <w:tc>
          <w:tcPr>
            <w:tcW w:w="235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中国电信集团有限公司</w:t>
            </w:r>
          </w:p>
        </w:tc>
      </w:tr>
    </w:tbl>
    <w:p>
      <w:pPr>
        <w:spacing w:before="313" w:beforeLines="100" w:after="313" w:afterLines="100"/>
        <w:jc w:val="center"/>
      </w:pPr>
      <w:r>
        <w:rPr>
          <w:rFonts w:hint="eastAsia" w:ascii="宋体" w:hAnsi="宋体" w:eastAsia="宋体"/>
          <w:b/>
          <w:bCs/>
          <w:sz w:val="36"/>
        </w:rPr>
        <w:t>优秀组织</w:t>
      </w:r>
      <w:r>
        <w:rPr>
          <w:rFonts w:hint="eastAsia" w:ascii="宋体" w:hAnsi="宋体" w:eastAsia="宋体"/>
          <w:b/>
          <w:bCs/>
          <w:sz w:val="36"/>
          <w:lang w:eastAsia="zh-CN"/>
        </w:rPr>
        <w:t>单位</w:t>
      </w:r>
    </w:p>
    <w:tbl>
      <w:tblPr>
        <w:tblStyle w:val="6"/>
        <w:tblW w:w="6502" w:type="dxa"/>
        <w:jc w:val="center"/>
        <w:tblInd w:w="0" w:type="dxa"/>
        <w:tblLayout w:type="fixed"/>
        <w:tblCellMar>
          <w:top w:w="0" w:type="dxa"/>
          <w:left w:w="108" w:type="dxa"/>
          <w:bottom w:w="0" w:type="dxa"/>
          <w:right w:w="108" w:type="dxa"/>
        </w:tblCellMar>
      </w:tblPr>
      <w:tblGrid>
        <w:gridCol w:w="1120"/>
        <w:gridCol w:w="5382"/>
      </w:tblGrid>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号</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单</w:t>
            </w:r>
            <w:r>
              <w:rPr>
                <w:rFonts w:hint="eastAsia" w:ascii="黑体" w:hAnsi="黑体" w:eastAsia="黑体" w:cs="黑体"/>
                <w:b/>
                <w:bCs/>
                <w:color w:val="000000"/>
                <w:kern w:val="0"/>
                <w:sz w:val="28"/>
                <w:szCs w:val="28"/>
                <w:lang w:val="en-US" w:eastAsia="zh-CN" w:bidi="ar"/>
              </w:rPr>
              <w:t xml:space="preserve">  </w:t>
            </w:r>
            <w:r>
              <w:rPr>
                <w:rFonts w:hint="eastAsia" w:ascii="黑体" w:hAnsi="黑体" w:eastAsia="黑体" w:cs="黑体"/>
                <w:b/>
                <w:bCs/>
                <w:color w:val="000000"/>
                <w:kern w:val="0"/>
                <w:sz w:val="28"/>
                <w:szCs w:val="28"/>
                <w:lang w:bidi="ar"/>
              </w:rPr>
              <w:t>位</w:t>
            </w:r>
          </w:p>
        </w:tc>
      </w:tr>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中国兵器工业集团有限公司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中国铁道建筑集团有限公司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中国电信集团有限公司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中国煤炭科工集团有限公司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中国大唐集团有限公司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中国航空工业集团有限公司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5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中国核工业集团有限公司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rPr>
              <w:t>中国石油天然气集团有限公司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5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国家能源投资集团有限责任公司</w:t>
            </w:r>
          </w:p>
        </w:tc>
      </w:tr>
      <w:tr>
        <w:tblPrEx>
          <w:tblLayout w:type="fixed"/>
          <w:tblCellMar>
            <w:top w:w="0" w:type="dxa"/>
            <w:left w:w="108" w:type="dxa"/>
            <w:bottom w:w="0" w:type="dxa"/>
            <w:right w:w="108" w:type="dxa"/>
          </w:tblCellMar>
        </w:tblPrEx>
        <w:trPr>
          <w:trHeight w:val="680" w:hRule="atLeast"/>
          <w:jc w:val="center"/>
        </w:trPr>
        <w:tc>
          <w:tcPr>
            <w:tcW w:w="11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5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中国保利集团有限公司</w:t>
            </w:r>
          </w:p>
        </w:tc>
      </w:tr>
    </w:tbl>
    <w:p>
      <w:pPr>
        <w:jc w:val="center"/>
        <w:rPr>
          <w:rFonts w:hint="eastAsia"/>
        </w:rPr>
      </w:pPr>
    </w:p>
    <w:p>
      <w:pPr>
        <w:jc w:val="center"/>
        <w:rPr>
          <w:rFonts w:ascii="宋体" w:hAnsi="宋体" w:eastAsia="宋体" w:cs="Times New Roman"/>
          <w:b/>
          <w:bCs/>
          <w:sz w:val="36"/>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5409E-CE11-4370-92FF-088DAB3D43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0" w:usb1="00000000" w:usb2="00000000" w:usb3="00000000" w:csb0="00000000" w:csb1="00000000"/>
    <w:embedRegular r:id="rId2" w:fontKey="{9EB2CB77-10FD-4490-8D4C-21077A650A2D}"/>
  </w:font>
  <w:font w:name="等线">
    <w:panose1 w:val="02010600030101010101"/>
    <w:charset w:val="86"/>
    <w:family w:val="auto"/>
    <w:pitch w:val="default"/>
    <w:sig w:usb0="00000000" w:usb1="00000000" w:usb2="00000000" w:usb3="00000000" w:csb0="00000000" w:csb1="00000000"/>
    <w:embedRegular r:id="rId3" w:fontKey="{6E1F8750-5987-403D-BCD4-C325366ABBBA}"/>
  </w:font>
  <w:font w:name="仿宋_GB2312">
    <w:panose1 w:val="02010609030101010101"/>
    <w:charset w:val="86"/>
    <w:family w:val="auto"/>
    <w:pitch w:val="default"/>
    <w:sig w:usb0="00000001" w:usb1="080E0000" w:usb2="00000000" w:usb3="00000000" w:csb0="00040000" w:csb1="00000000"/>
    <w:embedRegular r:id="rId4" w:fontKey="{A76478EC-EF07-44E1-902A-E3CEAB811035}"/>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1MDZmYmQ0YzNjYjVkMWFmZTA2ODE5NGYwZmFmYTQifQ=="/>
  </w:docVars>
  <w:rsids>
    <w:rsidRoot w:val="00305999"/>
    <w:rsid w:val="001767A6"/>
    <w:rsid w:val="002863F7"/>
    <w:rsid w:val="00305999"/>
    <w:rsid w:val="009C01F3"/>
    <w:rsid w:val="02CE7FF7"/>
    <w:rsid w:val="092D2AAB"/>
    <w:rsid w:val="095C4925"/>
    <w:rsid w:val="0EC140FE"/>
    <w:rsid w:val="0F0F11BE"/>
    <w:rsid w:val="0F647C69"/>
    <w:rsid w:val="10E42AC3"/>
    <w:rsid w:val="153D2934"/>
    <w:rsid w:val="15A70B8E"/>
    <w:rsid w:val="1B1329A7"/>
    <w:rsid w:val="1C4E25D8"/>
    <w:rsid w:val="1C624408"/>
    <w:rsid w:val="1D4D42E8"/>
    <w:rsid w:val="247A3DFC"/>
    <w:rsid w:val="30D30E59"/>
    <w:rsid w:val="31AB2F08"/>
    <w:rsid w:val="47BD2793"/>
    <w:rsid w:val="48C479F2"/>
    <w:rsid w:val="4DAA40ED"/>
    <w:rsid w:val="5232047D"/>
    <w:rsid w:val="5ADD5A62"/>
    <w:rsid w:val="5E32398B"/>
    <w:rsid w:val="60471C86"/>
    <w:rsid w:val="60F9442E"/>
    <w:rsid w:val="62F02E75"/>
    <w:rsid w:val="65880E7C"/>
    <w:rsid w:val="720F0A56"/>
    <w:rsid w:val="739E1D29"/>
    <w:rsid w:val="78023A62"/>
    <w:rsid w:val="7A870E83"/>
    <w:rsid w:val="7BEE49B2"/>
    <w:rsid w:val="7C297DE6"/>
    <w:rsid w:val="7E934685"/>
    <w:rsid w:val="7F2B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8063</Words>
  <Characters>8431</Characters>
  <Lines>67</Lines>
  <Paragraphs>19</Paragraphs>
  <TotalTime>4</TotalTime>
  <ScaleCrop>false</ScaleCrop>
  <LinksUpToDate>false</LinksUpToDate>
  <CharactersWithSpaces>8516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2022-08-22T09:39:00Z</dcterms:created>
  <dc:creator>85204</dc:creator>
  <cp:lastModifiedBy>Administrator</cp:lastModifiedBy>
  <cp:lastPrinted>2022-08-25T08:48:00Z</cp:lastPrinted>
  <dcterms:modified xsi:type="dcterms:W3CDTF">2022-09-02T06:22:51Z</dcterms:modified>
  <dc:title>第五届中央企业优秀故事、优秀组织单位获奖名单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F12F68DCE6F34D328BD69D419CE08B98</vt:lpwstr>
  </property>
</Properties>
</file>