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35"/>
        </w:tabs>
        <w:spacing w:line="600" w:lineRule="exact"/>
        <w:ind w:left="0" w:leftChars="0" w:right="0" w:rightChars="0" w:firstLine="0" w:firstLineChars="0"/>
        <w:jc w:val="center"/>
        <w:rPr>
          <w:rFonts w:hint="eastAsia" w:ascii="华文中宋" w:hAnsi="华文中宋" w:eastAsia="华文中宋" w:cs="Times New Roman"/>
          <w:b/>
          <w:spacing w:val="8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pacing w:val="8"/>
          <w:sz w:val="44"/>
          <w:szCs w:val="44"/>
          <w:lang w:val="en-US" w:eastAsia="zh-CN"/>
        </w:rPr>
        <w:t>推荐对象名单</w:t>
      </w:r>
    </w:p>
    <w:p>
      <w:pPr>
        <w:wordWrap/>
        <w:spacing w:line="540" w:lineRule="exact"/>
        <w:ind w:firstLine="718" w:firstLineChars="213"/>
        <w:jc w:val="center"/>
        <w:rPr>
          <w:rFonts w:hint="eastAsia" w:ascii="仿宋_GB2312" w:hAnsi="仿宋_GB2312" w:eastAsia="仿宋_GB2312"/>
          <w:spacing w:val="-4"/>
          <w:sz w:val="32"/>
          <w:szCs w:val="22"/>
        </w:rPr>
      </w:pPr>
      <w:r>
        <w:rPr>
          <w:rFonts w:hint="eastAsia" w:ascii="方正楷体简体" w:hAnsi="方正楷体简体" w:eastAsia="方正楷体简体" w:cs="方正楷体简体"/>
          <w:b/>
          <w:spacing w:val="8"/>
          <w:sz w:val="32"/>
          <w:szCs w:val="32"/>
          <w:lang w:val="en-US" w:eastAsia="zh-CN"/>
        </w:rPr>
        <w:t>（83个）</w:t>
      </w:r>
    </w:p>
    <w:tbl>
      <w:tblPr>
        <w:tblStyle w:val="3"/>
        <w:tblW w:w="77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69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中核核电运行管理有限公司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中国核电工程有限公司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中国航天科技集团有限公司一院十四所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中国航天科技集团有限公司五院总装与环境工程部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中国航天科工集团第四研究院十七所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中国航天科工集团航天信息股份有限公司本部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陕西飞机工业（集团）有限公司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中国航空工业集团公司雷华电子技术研究所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中国船舶重工集团公司第七一四研究所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重庆红江机械有限责任公司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中国兵器工业集团北京北方车辆集团有限公司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中国兵器工业集团兵工财务有限责任公司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重庆嘉陵特种装备有限公司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四川建安工业有限责任公司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中电科光电科技有限公司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中电科真空电子科技有限公司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中国航发南方工业有限公司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中国石油天然气股份有限公司上海销售分公司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中国石油天然气股份有限公司西南油气田分公司重庆气矿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中国石化北京化工研究院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中海油研究总院有限责任公司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中海石油化学股份有限公司（总部）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国网冀北电力有限公司（本部）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国家电网有限公司高级培训中心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南方电网广东汕头供电局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华能南京金陵发电有限公司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华能北京热电有限责任公司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大唐南京发电厂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大唐环境产业集团股份有限公司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华电四川发电有限公司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华电国际邹县发电厂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山东核电有限公司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上海上电漕泾发电有限公司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湖北能源集团鄂州发电有限公司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中国神华能源股份有限公司（本部）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神华物资集团有限公司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中国电信股份有限公司武汉分公司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中国联合网络通信有限公司驻马店市分公司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中国联合网络通信有限公司上海市南区分公司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中国移动通信集团山东有限公司菏泽分公司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中国移动通信集团江苏有限公司苏州分公司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一汽解放汽车销售公司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东风商用车有限公司车身厂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东风华神汽车有限公司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中国中元国际工程有限公司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哈电集团哈尔滨电气动力装备有限公司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鞍钢股份有限公司炼焦总厂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中远海运特种运输股份有限公司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中国南方航空股份有限公司客舱部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中化石油销售有限公司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华商国际工程有限公司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五矿二十三冶建设集团有限公司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北京中丽制机工程技术有限公司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中国新兴建筑工程有限责任公司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中建一局集团建设发展有限公司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中国建筑第七工程局有限公司（本部）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中央储备粮金华直属库有限公司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天津国投津能发电有限公司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招商局公路网络科技控股股份有限公司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北京润置商业运营管理有限公司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中煤科工重庆设计研究院（集团）有限公司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中国建筑材料科学总院有限公司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南京玻璃纤维研究设计院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北矿检测技术有限公司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中国铁路通信信号集团有限公司通号工程局集团有限公司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中铁建工集团山东有限公司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中铁四局集团第二工程有限公司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中铁十六局集团地铁工程有限公司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中铁十四局集团房桥有限公司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中交投资有限公司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中港疏浚有限公司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中国医疗器械有限公司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大连保利会展管理有限公司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中国冶金地质总局山东正元地质勘查院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中化地质矿山总局河南地质局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中航信移动科技有限公司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中国水利水电第十一工程局有限公司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中国葛洲坝集团第三工程有限公司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电力规划总院有限公司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常州西电变压器有限责任公司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中国铁路物资安徽铁鹏水泥有限公司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中国铁塔股份有限公司济南市分公司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0B06"/>
    <w:rsid w:val="7D570B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2020-09-14T08:47:00Z</dcterms:created>
  <dc:creator>zhangqi</dc:creator>
  <cp:lastModifiedBy>zhangqi</cp:lastModifiedBy>
  <dcterms:modified xsi:type="dcterms:W3CDTF">2020-09-14T08:47:59Z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