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ED5D2">
      <w:pPr>
        <w:widowControl/>
        <w:spacing w:line="560" w:lineRule="exact"/>
        <w:jc w:val="both"/>
        <w:rPr>
          <w:rFonts w:hint="default" w:ascii="黑体" w:hAnsi="黑体" w:eastAsia="黑体" w:cs="黑体"/>
          <w:b w:val="0"/>
          <w:bCs/>
          <w:sz w:val="32"/>
          <w:szCs w:val="32"/>
          <w:lang w:val="en"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1</w:t>
      </w:r>
      <w:r>
        <w:rPr>
          <w:rFonts w:hint="default" w:ascii="黑体" w:hAnsi="黑体" w:eastAsia="黑体" w:cs="黑体"/>
          <w:b w:val="0"/>
          <w:bCs/>
          <w:sz w:val="32"/>
          <w:szCs w:val="32"/>
          <w:lang w:val="en" w:eastAsia="zh-CN"/>
        </w:rPr>
        <w:t>.1</w:t>
      </w:r>
    </w:p>
    <w:p w14:paraId="4496D63E">
      <w:pPr>
        <w:widowControl/>
        <w:spacing w:line="560" w:lineRule="exact"/>
        <w:jc w:val="center"/>
        <w:rPr>
          <w:rFonts w:hint="eastAsia" w:ascii="方正小标宋_GBK" w:hAnsi="方正小标宋_GBK" w:eastAsia="方正小标宋_GBK" w:cs="方正小标宋_GBK"/>
          <w:b w:val="0"/>
          <w:bCs/>
          <w:sz w:val="36"/>
          <w:szCs w:val="36"/>
          <w:lang w:eastAsia="zh-CN"/>
        </w:rPr>
      </w:pPr>
      <w:r>
        <w:rPr>
          <w:rFonts w:hint="eastAsia" w:ascii="方正小标宋_GBK" w:hAnsi="方正小标宋_GBK" w:eastAsia="方正小标宋_GBK" w:cs="方正小标宋_GBK"/>
          <w:b w:val="0"/>
          <w:bCs/>
          <w:sz w:val="36"/>
          <w:szCs w:val="36"/>
          <w:lang w:eastAsia="zh-CN"/>
        </w:rPr>
        <w:t>福建省</w:t>
      </w:r>
      <w:r>
        <w:rPr>
          <w:rFonts w:hint="eastAsia" w:ascii="方正小标宋_GBK" w:hAnsi="方正小标宋_GBK" w:eastAsia="方正小标宋_GBK" w:cs="方正小标宋_GBK"/>
          <w:b w:val="0"/>
          <w:bCs/>
          <w:sz w:val="36"/>
          <w:szCs w:val="36"/>
        </w:rPr>
        <w:t>人力资源服务</w:t>
      </w:r>
      <w:r>
        <w:rPr>
          <w:rFonts w:hint="eastAsia" w:ascii="方正小标宋_GBK" w:hAnsi="方正小标宋_GBK" w:eastAsia="方正小标宋_GBK" w:cs="方正小标宋_GBK"/>
          <w:b w:val="0"/>
          <w:bCs/>
          <w:sz w:val="36"/>
          <w:szCs w:val="36"/>
          <w:lang w:eastAsia="zh-CN"/>
        </w:rPr>
        <w:t>机构从事</w:t>
      </w:r>
      <w:r>
        <w:rPr>
          <w:rFonts w:hint="eastAsia" w:ascii="方正小标宋_GBK" w:hAnsi="方正小标宋_GBK" w:eastAsia="方正小标宋_GBK" w:cs="方正小标宋_GBK"/>
          <w:b w:val="0"/>
          <w:bCs/>
          <w:sz w:val="36"/>
          <w:szCs w:val="36"/>
        </w:rPr>
        <w:t>职业中介</w:t>
      </w:r>
      <w:r>
        <w:rPr>
          <w:rFonts w:hint="eastAsia" w:ascii="方正小标宋_GBK" w:hAnsi="方正小标宋_GBK" w:eastAsia="方正小标宋_GBK" w:cs="方正小标宋_GBK"/>
          <w:b w:val="0"/>
          <w:bCs/>
          <w:sz w:val="36"/>
          <w:szCs w:val="36"/>
          <w:lang w:eastAsia="zh-CN"/>
        </w:rPr>
        <w:t>活动</w:t>
      </w:r>
    </w:p>
    <w:p w14:paraId="7D5D7642">
      <w:pPr>
        <w:widowControl/>
        <w:spacing w:line="560" w:lineRule="exact"/>
        <w:jc w:val="center"/>
        <w:rPr>
          <w:rFonts w:hint="eastAsia" w:ascii="方正小标宋_GBK" w:hAnsi="方正小标宋_GBK" w:eastAsia="方正小标宋_GBK" w:cs="方正小标宋_GBK"/>
          <w:b w:val="0"/>
          <w:bCs/>
          <w:sz w:val="36"/>
          <w:szCs w:val="36"/>
          <w:lang w:eastAsia="zh-CN"/>
        </w:rPr>
      </w:pPr>
      <w:r>
        <w:rPr>
          <w:rFonts w:hint="eastAsia" w:ascii="方正小标宋_GBK" w:hAnsi="方正小标宋_GBK" w:eastAsia="方正小标宋_GBK" w:cs="方正小标宋_GBK"/>
          <w:b w:val="0"/>
          <w:bCs/>
          <w:sz w:val="36"/>
          <w:szCs w:val="36"/>
          <w:lang w:eastAsia="zh-CN"/>
        </w:rPr>
        <w:t>行政</w:t>
      </w:r>
      <w:r>
        <w:rPr>
          <w:rFonts w:hint="eastAsia" w:ascii="方正小标宋_GBK" w:hAnsi="方正小标宋_GBK" w:eastAsia="方正小标宋_GBK" w:cs="方正小标宋_GBK"/>
          <w:b w:val="0"/>
          <w:bCs/>
          <w:sz w:val="36"/>
          <w:szCs w:val="36"/>
        </w:rPr>
        <w:t>许可规程表</w:t>
      </w:r>
      <w:r>
        <w:rPr>
          <w:rFonts w:hint="eastAsia" w:ascii="方正小标宋_GBK" w:hAnsi="方正小标宋_GBK" w:eastAsia="方正小标宋_GBK" w:cs="方正小标宋_GBK"/>
          <w:b w:val="0"/>
          <w:bCs/>
          <w:sz w:val="36"/>
          <w:szCs w:val="36"/>
          <w:lang w:eastAsia="zh-CN"/>
        </w:rPr>
        <w:t>（一）</w:t>
      </w:r>
    </w:p>
    <w:p w14:paraId="11F88BFD">
      <w:pPr>
        <w:widowControl/>
        <w:spacing w:line="340" w:lineRule="exact"/>
        <w:ind w:firstLine="1789" w:firstLineChars="495"/>
        <w:rPr>
          <w:rFonts w:ascii="宋体" w:hAnsi="宋体" w:eastAsia="宋体" w:cs="Arial"/>
          <w:b/>
          <w:sz w:val="36"/>
          <w:szCs w:val="36"/>
        </w:rP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6"/>
        <w:gridCol w:w="1260"/>
        <w:gridCol w:w="7200"/>
      </w:tblGrid>
      <w:tr w14:paraId="27E64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796" w:type="dxa"/>
            <w:noWrap w:val="0"/>
            <w:vAlign w:val="center"/>
          </w:tcPr>
          <w:p w14:paraId="40DD48AD">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序号</w:t>
            </w:r>
          </w:p>
        </w:tc>
        <w:tc>
          <w:tcPr>
            <w:tcW w:w="1260" w:type="dxa"/>
            <w:noWrap w:val="0"/>
            <w:vAlign w:val="center"/>
          </w:tcPr>
          <w:p w14:paraId="5766CC52">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项目</w:t>
            </w:r>
          </w:p>
        </w:tc>
        <w:tc>
          <w:tcPr>
            <w:tcW w:w="7200" w:type="dxa"/>
            <w:noWrap w:val="0"/>
            <w:vAlign w:val="center"/>
          </w:tcPr>
          <w:p w14:paraId="524625DB">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内容</w:t>
            </w:r>
          </w:p>
        </w:tc>
      </w:tr>
      <w:tr w14:paraId="17613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4" w:hRule="atLeast"/>
          <w:jc w:val="center"/>
        </w:trPr>
        <w:tc>
          <w:tcPr>
            <w:tcW w:w="796" w:type="dxa"/>
            <w:noWrap w:val="0"/>
            <w:vAlign w:val="center"/>
          </w:tcPr>
          <w:p w14:paraId="7B81721A">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1</w:t>
            </w:r>
          </w:p>
        </w:tc>
        <w:tc>
          <w:tcPr>
            <w:tcW w:w="1260" w:type="dxa"/>
            <w:noWrap w:val="0"/>
            <w:vAlign w:val="center"/>
          </w:tcPr>
          <w:p w14:paraId="0982714E">
            <w:pPr>
              <w:widowControl/>
              <w:spacing w:line="240" w:lineRule="atLeast"/>
              <w:jc w:val="both"/>
              <w:rPr>
                <w:rFonts w:ascii="华文楷体" w:hAnsi="华文楷体" w:eastAsia="华文楷体" w:cs="宋体"/>
                <w:kern w:val="0"/>
                <w:sz w:val="24"/>
              </w:rPr>
            </w:pPr>
            <w:r>
              <w:rPr>
                <w:rFonts w:hint="eastAsia" w:ascii="华文楷体" w:hAnsi="华文楷体" w:eastAsia="华文楷体" w:cs="宋体"/>
                <w:kern w:val="0"/>
                <w:sz w:val="24"/>
              </w:rPr>
              <w:t>项目名称</w:t>
            </w:r>
          </w:p>
        </w:tc>
        <w:tc>
          <w:tcPr>
            <w:tcW w:w="7200" w:type="dxa"/>
            <w:noWrap w:val="0"/>
            <w:vAlign w:val="center"/>
          </w:tcPr>
          <w:p w14:paraId="42C971D5">
            <w:pPr>
              <w:widowControl/>
              <w:spacing w:line="240" w:lineRule="atLeast"/>
              <w:jc w:val="both"/>
              <w:rPr>
                <w:rFonts w:ascii="仿宋_GB2312" w:hAnsi="华文楷体" w:cs="宋体"/>
                <w:kern w:val="0"/>
                <w:sz w:val="24"/>
              </w:rPr>
            </w:pPr>
            <w:r>
              <w:rPr>
                <w:rFonts w:hint="eastAsia" w:ascii="仿宋_GB2312" w:hAnsi="华文楷体" w:cs="宋体"/>
                <w:kern w:val="0"/>
                <w:sz w:val="24"/>
                <w:lang w:eastAsia="zh-CN"/>
              </w:rPr>
              <w:t>人力资源服务许可（新设）</w:t>
            </w:r>
          </w:p>
        </w:tc>
      </w:tr>
      <w:tr w14:paraId="5F90A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5" w:hRule="atLeast"/>
          <w:jc w:val="center"/>
        </w:trPr>
        <w:tc>
          <w:tcPr>
            <w:tcW w:w="796" w:type="dxa"/>
            <w:noWrap w:val="0"/>
            <w:vAlign w:val="center"/>
          </w:tcPr>
          <w:p w14:paraId="1DED079F">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2</w:t>
            </w:r>
          </w:p>
        </w:tc>
        <w:tc>
          <w:tcPr>
            <w:tcW w:w="1260" w:type="dxa"/>
            <w:noWrap w:val="0"/>
            <w:vAlign w:val="center"/>
          </w:tcPr>
          <w:p w14:paraId="126D07E6">
            <w:pPr>
              <w:widowControl/>
              <w:spacing w:line="240" w:lineRule="atLeast"/>
              <w:jc w:val="both"/>
              <w:rPr>
                <w:rFonts w:ascii="华文楷体" w:hAnsi="华文楷体" w:eastAsia="华文楷体" w:cs="宋体"/>
                <w:kern w:val="0"/>
                <w:sz w:val="24"/>
              </w:rPr>
            </w:pPr>
            <w:r>
              <w:rPr>
                <w:rFonts w:hint="eastAsia" w:ascii="华文楷体" w:hAnsi="华文楷体" w:eastAsia="华文楷体" w:cs="宋体"/>
                <w:kern w:val="0"/>
                <w:sz w:val="24"/>
              </w:rPr>
              <w:t>设定依据</w:t>
            </w:r>
          </w:p>
        </w:tc>
        <w:tc>
          <w:tcPr>
            <w:tcW w:w="7200" w:type="dxa"/>
            <w:noWrap w:val="0"/>
            <w:vAlign w:val="center"/>
          </w:tcPr>
          <w:p w14:paraId="008AAE60">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Times New Roman" w:cs="Times New Roman"/>
                <w:sz w:val="24"/>
                <w:lang w:bidi="ar"/>
              </w:rPr>
            </w:pPr>
            <w:r>
              <w:rPr>
                <w:rFonts w:hint="eastAsia" w:ascii="仿宋_GB2312" w:hAnsi="Times New Roman" w:cs="Times New Roman"/>
                <w:sz w:val="24"/>
                <w:lang w:bidi="ar"/>
              </w:rPr>
              <w:t>（一）《</w:t>
            </w:r>
            <w:r>
              <w:rPr>
                <w:rFonts w:hint="eastAsia" w:ascii="仿宋_GB2312" w:hAnsi="Times New Roman" w:cs="Times New Roman"/>
                <w:sz w:val="24"/>
                <w:lang w:eastAsia="zh-CN" w:bidi="ar"/>
              </w:rPr>
              <w:t>中</w:t>
            </w:r>
            <w:r>
              <w:rPr>
                <w:rFonts w:hint="eastAsia" w:ascii="仿宋_GB2312" w:hAnsi="Times New Roman" w:cs="Times New Roman"/>
                <w:color w:val="000000"/>
                <w:sz w:val="24"/>
                <w:lang w:eastAsia="zh-CN" w:bidi="ar"/>
              </w:rPr>
              <w:t>华</w:t>
            </w:r>
            <w:r>
              <w:rPr>
                <w:rFonts w:hint="eastAsia" w:ascii="仿宋_GB2312" w:hAnsi="Times New Roman" w:cs="Times New Roman"/>
                <w:sz w:val="24"/>
                <w:lang w:eastAsia="zh-CN" w:bidi="ar"/>
              </w:rPr>
              <w:t>人民共和国</w:t>
            </w:r>
            <w:r>
              <w:rPr>
                <w:rFonts w:hint="eastAsia" w:ascii="仿宋_GB2312" w:hAnsi="Times New Roman" w:cs="Times New Roman"/>
                <w:sz w:val="24"/>
                <w:lang w:bidi="ar"/>
              </w:rPr>
              <w:t>就业促进法》第四十条：设立职业中介机构应当具备下列条件：</w:t>
            </w:r>
          </w:p>
          <w:p w14:paraId="329A573D">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Times New Roman" w:cs="Times New Roman"/>
                <w:sz w:val="24"/>
                <w:lang w:bidi="ar"/>
              </w:rPr>
            </w:pPr>
            <w:r>
              <w:rPr>
                <w:rFonts w:hint="eastAsia" w:ascii="仿宋_GB2312" w:hAnsi="Times New Roman" w:cs="Times New Roman"/>
                <w:sz w:val="24"/>
                <w:lang w:val="en-US" w:eastAsia="zh-CN" w:bidi="ar"/>
              </w:rPr>
              <w:t>1、</w:t>
            </w:r>
            <w:r>
              <w:rPr>
                <w:rFonts w:hint="eastAsia" w:ascii="仿宋_GB2312" w:hAnsi="Times New Roman" w:cs="Times New Roman"/>
                <w:sz w:val="24"/>
                <w:lang w:bidi="ar"/>
              </w:rPr>
              <w:t>有明确的章程和管理制度；</w:t>
            </w:r>
          </w:p>
          <w:p w14:paraId="315B72CC">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firstLine="480" w:firstLineChars="200"/>
              <w:jc w:val="left"/>
              <w:textAlignment w:val="auto"/>
              <w:rPr>
                <w:rFonts w:hint="eastAsia" w:ascii="仿宋_GB2312" w:hAnsi="Times New Roman" w:cs="Times New Roman"/>
                <w:sz w:val="24"/>
                <w:lang w:bidi="ar"/>
              </w:rPr>
            </w:pPr>
            <w:r>
              <w:rPr>
                <w:rFonts w:hint="eastAsia" w:ascii="仿宋_GB2312" w:hAnsi="Times New Roman" w:cs="Times New Roman"/>
                <w:sz w:val="24"/>
                <w:lang w:val="en-US" w:eastAsia="zh-CN" w:bidi="ar"/>
              </w:rPr>
              <w:t>2、</w:t>
            </w:r>
            <w:r>
              <w:rPr>
                <w:rFonts w:hint="eastAsia" w:ascii="仿宋_GB2312" w:hAnsi="Times New Roman" w:cs="Times New Roman"/>
                <w:sz w:val="24"/>
                <w:lang w:bidi="ar"/>
              </w:rPr>
              <w:t>有开展业务必备的固定场所、办公设施和一定数额的开办资金；</w:t>
            </w:r>
          </w:p>
          <w:p w14:paraId="23E0597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Times New Roman" w:cs="Times New Roman"/>
                <w:sz w:val="24"/>
                <w:lang w:bidi="ar"/>
              </w:rPr>
            </w:pPr>
            <w:r>
              <w:rPr>
                <w:rFonts w:hint="eastAsia" w:ascii="仿宋_GB2312" w:hAnsi="Times New Roman" w:cs="Times New Roman"/>
                <w:sz w:val="24"/>
                <w:lang w:val="en-US" w:eastAsia="zh-CN" w:bidi="ar"/>
              </w:rPr>
              <w:t>3、</w:t>
            </w:r>
            <w:r>
              <w:rPr>
                <w:rFonts w:hint="eastAsia" w:ascii="仿宋_GB2312" w:hAnsi="Times New Roman" w:cs="Times New Roman"/>
                <w:sz w:val="24"/>
                <w:lang w:bidi="ar"/>
              </w:rPr>
              <w:t>有一定数量具备相应资格的专职工作人员；</w:t>
            </w:r>
          </w:p>
          <w:p w14:paraId="68CF1B12">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Times New Roman" w:cs="Times New Roman"/>
                <w:sz w:val="24"/>
                <w:lang w:bidi="ar"/>
              </w:rPr>
            </w:pPr>
            <w:r>
              <w:rPr>
                <w:rFonts w:hint="eastAsia" w:ascii="仿宋_GB2312" w:hAnsi="Times New Roman" w:cs="Times New Roman"/>
                <w:sz w:val="24"/>
                <w:lang w:val="en-US" w:eastAsia="zh-CN" w:bidi="ar"/>
              </w:rPr>
              <w:t>4、</w:t>
            </w:r>
            <w:r>
              <w:rPr>
                <w:rFonts w:hint="eastAsia" w:ascii="仿宋_GB2312" w:hAnsi="Times New Roman" w:cs="Times New Roman"/>
                <w:sz w:val="24"/>
                <w:lang w:bidi="ar"/>
              </w:rPr>
              <w:t>法律、法规规定的其他条件。</w:t>
            </w:r>
          </w:p>
          <w:p w14:paraId="70B08A7D">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Times New Roman" w:cs="Times New Roman"/>
                <w:sz w:val="24"/>
                <w:lang w:bidi="ar"/>
              </w:rPr>
            </w:pPr>
            <w:r>
              <w:rPr>
                <w:rFonts w:hint="eastAsia" w:ascii="仿宋_GB2312" w:hAnsi="Times New Roman" w:cs="Times New Roman"/>
                <w:sz w:val="24"/>
                <w:lang w:bidi="ar"/>
              </w:rPr>
              <w:t>（二）《人力资源市场暂行条例》</w:t>
            </w:r>
            <w:r>
              <w:rPr>
                <w:rFonts w:hint="eastAsia" w:ascii="仿宋_GB2312" w:hAnsi="Times New Roman" w:cs="Times New Roman"/>
                <w:sz w:val="24"/>
                <w:lang w:eastAsia="zh-CN" w:bidi="ar"/>
              </w:rPr>
              <w:t>（国务院令第</w:t>
            </w:r>
            <w:r>
              <w:rPr>
                <w:rFonts w:hint="eastAsia" w:ascii="仿宋_GB2312" w:hAnsi="Times New Roman" w:cs="Times New Roman"/>
                <w:sz w:val="24"/>
                <w:lang w:val="en-US" w:eastAsia="zh-CN" w:bidi="ar"/>
              </w:rPr>
              <w:t>700号</w:t>
            </w:r>
            <w:r>
              <w:rPr>
                <w:rFonts w:hint="eastAsia" w:ascii="仿宋_GB2312" w:hAnsi="Times New Roman" w:cs="Times New Roman"/>
                <w:sz w:val="24"/>
                <w:lang w:eastAsia="zh-CN" w:bidi="ar"/>
              </w:rPr>
              <w:t>）</w:t>
            </w:r>
            <w:r>
              <w:rPr>
                <w:rFonts w:hint="eastAsia" w:ascii="仿宋_GB2312" w:hAnsi="Times New Roman" w:cs="Times New Roman"/>
                <w:sz w:val="24"/>
                <w:lang w:bidi="ar"/>
              </w:rPr>
              <w:t>第十八条：经营性人力资源服务机构从事职业中介活动的，应当依法向人力资源社会保障行政部门申请行政许可，取得人力资源服务许可证。</w:t>
            </w:r>
          </w:p>
          <w:p w14:paraId="0AD5C669">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Times New Roman" w:cs="Times New Roman"/>
                <w:sz w:val="24"/>
                <w:lang w:bidi="ar"/>
              </w:rPr>
            </w:pPr>
            <w:r>
              <w:rPr>
                <w:rFonts w:hint="eastAsia" w:ascii="仿宋_GB2312" w:hAnsi="Times New Roman" w:cs="Times New Roman"/>
                <w:sz w:val="24"/>
                <w:lang w:bidi="ar"/>
              </w:rPr>
              <w:t>（三）《人力资</w:t>
            </w:r>
            <w:r>
              <w:rPr>
                <w:rFonts w:hint="eastAsia" w:ascii="仿宋_GB2312" w:hAnsi="Times New Roman" w:cs="Times New Roman"/>
                <w:sz w:val="24"/>
                <w:lang w:eastAsia="zh-CN" w:bidi="ar"/>
              </w:rPr>
              <w:t>源</w:t>
            </w:r>
            <w:r>
              <w:rPr>
                <w:rFonts w:hint="eastAsia" w:ascii="仿宋_GB2312" w:hAnsi="Times New Roman" w:cs="Times New Roman"/>
                <w:sz w:val="24"/>
                <w:lang w:bidi="ar"/>
              </w:rPr>
              <w:t>服务机构管理规定》</w:t>
            </w:r>
            <w:r>
              <w:rPr>
                <w:rFonts w:hint="eastAsia" w:ascii="仿宋_GB2312" w:hAnsi="Times New Roman" w:cs="Times New Roman"/>
                <w:sz w:val="24"/>
                <w:lang w:eastAsia="zh-CN" w:bidi="ar"/>
              </w:rPr>
              <w:t>（人力资源社会保障部令第</w:t>
            </w:r>
            <w:r>
              <w:rPr>
                <w:rFonts w:hint="eastAsia" w:ascii="仿宋_GB2312" w:hAnsi="Times New Roman" w:cs="Times New Roman"/>
                <w:sz w:val="24"/>
                <w:lang w:val="en-US" w:eastAsia="zh-CN" w:bidi="ar"/>
              </w:rPr>
              <w:t>50号</w:t>
            </w:r>
            <w:r>
              <w:rPr>
                <w:rFonts w:hint="eastAsia" w:ascii="仿宋_GB2312" w:hAnsi="Times New Roman" w:cs="Times New Roman"/>
                <w:sz w:val="24"/>
                <w:lang w:eastAsia="zh-CN" w:bidi="ar"/>
              </w:rPr>
              <w:t>）</w:t>
            </w:r>
            <w:r>
              <w:rPr>
                <w:rFonts w:hint="eastAsia" w:ascii="仿宋_GB2312" w:hAnsi="Times New Roman" w:cs="Times New Roman"/>
                <w:sz w:val="24"/>
                <w:lang w:bidi="ar"/>
              </w:rPr>
              <w:t>第五条：经营性人力资源服务机构从事职业中介活动的，应当在市场主体登记办理完毕后，依法向住所地人力资源社会保障行政部门申请行政许可，取得人力资源服务许可证。从事网络招聘服务的，还应当依法取得电信业务经营许可证。本规定所称职业中介活动是指为用人单位招用人员和劳动者求职提供中介服务，包括为用人单位推荐劳动者、为劳动者介绍用人单位、组织开展招聘会、开展网络招聘服务、开展高级人才寻访（猎头）服务等经营性活动。</w:t>
            </w:r>
          </w:p>
          <w:p w14:paraId="46FC717C">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Times New Roman" w:cs="Times New Roman"/>
                <w:sz w:val="24"/>
                <w:lang w:bidi="ar"/>
              </w:rPr>
            </w:pPr>
            <w:r>
              <w:rPr>
                <w:rFonts w:hint="eastAsia" w:ascii="仿宋_GB2312" w:hAnsi="Times New Roman" w:cs="Times New Roman"/>
                <w:sz w:val="24"/>
                <w:lang w:bidi="ar"/>
              </w:rPr>
              <w:t>第六条：申请从事职业中介活动的，应当具备下列条件：1.有明确的章程和管理制度；2.有开展业务必备的固定场所、办公设施和一定数额的开办资金；3.有3名以上专职工作人员；4.法律、法规规定的其他条件。</w:t>
            </w:r>
          </w:p>
          <w:p w14:paraId="6D6102CE">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Times New Roman" w:cs="Times New Roman"/>
                <w:sz w:val="24"/>
                <w:lang w:bidi="ar"/>
              </w:rPr>
            </w:pPr>
            <w:r>
              <w:rPr>
                <w:rFonts w:hint="eastAsia" w:ascii="仿宋_GB2312" w:hAnsi="Times New Roman" w:cs="Times New Roman"/>
                <w:sz w:val="24"/>
                <w:lang w:bidi="ar"/>
              </w:rPr>
              <w:t>第十条：依法取得的人力资源服务许可证在全国范围内长期有效。</w:t>
            </w:r>
          </w:p>
          <w:p w14:paraId="4B7B4FB1">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Times New Roman" w:cs="Times New Roman"/>
                <w:sz w:val="24"/>
                <w:lang w:bidi="ar"/>
              </w:rPr>
            </w:pPr>
            <w:r>
              <w:rPr>
                <w:rFonts w:hint="eastAsia" w:ascii="仿宋_GB2312" w:hAnsi="Times New Roman" w:cs="Times New Roman"/>
                <w:sz w:val="24"/>
                <w:lang w:eastAsia="zh-CN" w:bidi="ar"/>
              </w:rPr>
              <w:t>（四）</w:t>
            </w:r>
            <w:r>
              <w:rPr>
                <w:rFonts w:hint="eastAsia" w:ascii="仿宋_GB2312" w:hAnsi="Times New Roman" w:cs="Times New Roman"/>
                <w:sz w:val="24"/>
                <w:lang w:bidi="ar"/>
              </w:rPr>
              <w:t>《网络招聘服务管理规定》（人力资源社会保障部令第44号）第九条：经营性人力资源服务机构从事网络招聘服务，应当依法取得人力资源服务许可证。涉及经营电信业务的，还应当依法取得电信业务经营许可证。</w:t>
            </w:r>
          </w:p>
          <w:p w14:paraId="73F2466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Times New Roman" w:cs="Times New Roman"/>
                <w:sz w:val="24"/>
                <w:lang w:val="en-US" w:eastAsia="zh-CN" w:bidi="ar"/>
              </w:rPr>
            </w:pPr>
            <w:r>
              <w:rPr>
                <w:rFonts w:hint="eastAsia" w:ascii="仿宋_GB2312" w:hAnsi="Times New Roman" w:cs="Times New Roman"/>
                <w:sz w:val="24"/>
                <w:lang w:val="en-US" w:eastAsia="zh-CN" w:bidi="ar"/>
              </w:rPr>
              <w:t>（五）《就业服务与就业管理规定》（劳动保障部令第28号）第五十条第三款：职业中介机构的具体设立条件、审批和年度审验程序，由省级劳动保障行政部门统一规定。</w:t>
            </w:r>
          </w:p>
          <w:p w14:paraId="00380D5D">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Times New Roman" w:cs="Times New Roman"/>
                <w:sz w:val="24"/>
                <w:lang w:eastAsia="zh-CN" w:bidi="ar"/>
              </w:rPr>
            </w:pPr>
            <w:r>
              <w:rPr>
                <w:rFonts w:hint="eastAsia" w:ascii="仿宋_GB2312" w:hAnsi="Times New Roman" w:cs="Times New Roman"/>
                <w:sz w:val="24"/>
                <w:lang w:val="en-US" w:eastAsia="zh-CN" w:bidi="ar"/>
              </w:rPr>
              <w:t>（六）《福建省人力资源市场条例》第二十六条：</w:t>
            </w:r>
            <w:r>
              <w:rPr>
                <w:rFonts w:hint="eastAsia" w:ascii="仿宋_GB2312" w:hAnsi="Times New Roman" w:cs="Times New Roman"/>
                <w:sz w:val="24"/>
                <w:lang w:eastAsia="zh-CN" w:bidi="ar"/>
              </w:rPr>
              <w:t>经营性人力资源服务机构从事下列职业中介活动的，应当</w:t>
            </w:r>
            <w:r>
              <w:rPr>
                <w:rFonts w:hint="eastAsia" w:ascii="仿宋_GB2312" w:hAnsi="Times New Roman" w:cs="Times New Roman"/>
                <w:sz w:val="24"/>
                <w:lang w:val="en-US" w:eastAsia="zh-CN" w:bidi="ar"/>
              </w:rPr>
              <w:t>依法</w:t>
            </w:r>
            <w:r>
              <w:rPr>
                <w:rFonts w:hint="eastAsia" w:ascii="仿宋_GB2312" w:hAnsi="Times New Roman" w:cs="Times New Roman"/>
                <w:sz w:val="24"/>
                <w:lang w:eastAsia="zh-CN" w:bidi="ar"/>
              </w:rPr>
              <w:t>取得人力资源服务许可证，在许可范围内开展活动：（一）为用人单位推荐劳动者；（二）为劳动者介绍用人单位；（三）组织开展招聘会；（四）开展网络招聘服务；（五）开展高级人才寻访服务；（六）法律、行政法规和国家规定的其他职业中介活动。经营性人力资源服务机构从事职业中介活动的，</w:t>
            </w:r>
            <w:r>
              <w:rPr>
                <w:rFonts w:hint="eastAsia" w:ascii="仿宋_GB2312" w:hAnsi="Times New Roman" w:cs="Times New Roman"/>
                <w:sz w:val="24"/>
                <w:lang w:val="en-US" w:eastAsia="zh-CN" w:bidi="ar"/>
              </w:rPr>
              <w:t>还应当</w:t>
            </w:r>
            <w:r>
              <w:rPr>
                <w:rFonts w:hint="eastAsia" w:ascii="仿宋_GB2312" w:hAnsi="Times New Roman" w:cs="Times New Roman"/>
                <w:sz w:val="24"/>
                <w:lang w:eastAsia="zh-CN" w:bidi="ar"/>
              </w:rPr>
              <w:t>按照国家和省人民政府人力资源社会保障行政部门有关规定执行并诚信经营。</w:t>
            </w:r>
          </w:p>
        </w:tc>
      </w:tr>
      <w:tr w14:paraId="2F799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2" w:hRule="atLeast"/>
          <w:jc w:val="center"/>
        </w:trPr>
        <w:tc>
          <w:tcPr>
            <w:tcW w:w="796" w:type="dxa"/>
            <w:noWrap w:val="0"/>
            <w:vAlign w:val="center"/>
          </w:tcPr>
          <w:p w14:paraId="0C6DC391">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3</w:t>
            </w:r>
          </w:p>
        </w:tc>
        <w:tc>
          <w:tcPr>
            <w:tcW w:w="1260" w:type="dxa"/>
            <w:noWrap w:val="0"/>
            <w:vAlign w:val="center"/>
          </w:tcPr>
          <w:p w14:paraId="34A06908">
            <w:pPr>
              <w:widowControl/>
              <w:spacing w:line="240" w:lineRule="atLeast"/>
              <w:jc w:val="both"/>
              <w:rPr>
                <w:rFonts w:ascii="华文楷体" w:hAnsi="华文楷体" w:eastAsia="华文楷体" w:cs="宋体"/>
                <w:kern w:val="0"/>
                <w:sz w:val="24"/>
              </w:rPr>
            </w:pPr>
            <w:r>
              <w:rPr>
                <w:rFonts w:hint="eastAsia" w:ascii="华文楷体" w:hAnsi="华文楷体" w:eastAsia="华文楷体" w:cs="宋体"/>
                <w:kern w:val="0"/>
                <w:sz w:val="24"/>
              </w:rPr>
              <w:t>申报对象</w:t>
            </w:r>
          </w:p>
        </w:tc>
        <w:tc>
          <w:tcPr>
            <w:tcW w:w="7200" w:type="dxa"/>
            <w:noWrap w:val="0"/>
            <w:vAlign w:val="center"/>
          </w:tcPr>
          <w:p w14:paraId="73B625A7">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ascii="仿宋_GB2312" w:hAnsi="华文楷体" w:cs="Arial"/>
                <w:sz w:val="24"/>
              </w:rPr>
            </w:pPr>
            <w:r>
              <w:rPr>
                <w:rFonts w:hint="eastAsia" w:ascii="仿宋_GB2312" w:hAnsi="华文楷体" w:cs="Arial"/>
                <w:sz w:val="24"/>
              </w:rPr>
              <w:t>经营性人力资源服务机构</w:t>
            </w:r>
          </w:p>
        </w:tc>
      </w:tr>
      <w:tr w14:paraId="3220C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92" w:hRule="atLeast"/>
          <w:jc w:val="center"/>
        </w:trPr>
        <w:tc>
          <w:tcPr>
            <w:tcW w:w="796" w:type="dxa"/>
            <w:noWrap w:val="0"/>
            <w:vAlign w:val="center"/>
          </w:tcPr>
          <w:p w14:paraId="112A85C4">
            <w:pPr>
              <w:widowControl/>
              <w:numPr>
                <w:ilvl w:val="0"/>
                <w:numId w:val="0"/>
              </w:numPr>
              <w:spacing w:line="240" w:lineRule="atLeast"/>
              <w:jc w:val="both"/>
              <w:rPr>
                <w:rFonts w:hint="eastAsia" w:ascii="仿宋_GB2312" w:hAnsi="Times New Roman" w:eastAsia="仿宋_GB2312" w:cs="宋体"/>
                <w:kern w:val="0"/>
                <w:sz w:val="24"/>
              </w:rPr>
            </w:pPr>
            <w:r>
              <w:rPr>
                <w:rFonts w:hint="eastAsia" w:ascii="仿宋_GB2312" w:hAnsi="Times New Roman" w:eastAsia="仿宋_GB2312" w:cs="宋体"/>
                <w:kern w:val="0"/>
                <w:sz w:val="24"/>
              </w:rPr>
              <w:t>4</w:t>
            </w:r>
          </w:p>
        </w:tc>
        <w:tc>
          <w:tcPr>
            <w:tcW w:w="1260" w:type="dxa"/>
            <w:noWrap w:val="0"/>
            <w:vAlign w:val="center"/>
          </w:tcPr>
          <w:p w14:paraId="6238DD26">
            <w:pPr>
              <w:widowControl/>
              <w:numPr>
                <w:ilvl w:val="0"/>
                <w:numId w:val="0"/>
              </w:numPr>
              <w:spacing w:line="240" w:lineRule="atLeast"/>
              <w:jc w:val="both"/>
              <w:rPr>
                <w:rFonts w:hint="eastAsia" w:ascii="仿宋_GB2312" w:hAnsi="Times New Roman" w:cs="宋体"/>
                <w:kern w:val="0"/>
                <w:sz w:val="24"/>
              </w:rPr>
            </w:pPr>
            <w:r>
              <w:rPr>
                <w:rFonts w:hint="eastAsia" w:ascii="仿宋_GB2312" w:hAnsi="Times New Roman" w:eastAsia="仿宋_GB2312" w:cs="宋体"/>
                <w:kern w:val="0"/>
                <w:sz w:val="24"/>
              </w:rPr>
              <w:t>申报材料</w:t>
            </w:r>
          </w:p>
        </w:tc>
        <w:tc>
          <w:tcPr>
            <w:tcW w:w="7200" w:type="dxa"/>
            <w:noWrap w:val="0"/>
            <w:vAlign w:val="center"/>
          </w:tcPr>
          <w:p w14:paraId="6C8B7792">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Times New Roman" w:cs="宋体"/>
                <w:kern w:val="0"/>
                <w:sz w:val="24"/>
              </w:rPr>
            </w:pPr>
            <w:r>
              <w:rPr>
                <w:rFonts w:hint="eastAsia" w:ascii="仿宋_GB2312" w:hAnsi="Times New Roman" w:cs="宋体"/>
                <w:kern w:val="0"/>
                <w:sz w:val="24"/>
                <w:lang w:val="en-US" w:eastAsia="zh-CN"/>
              </w:rPr>
              <w:t>1、</w:t>
            </w:r>
            <w:r>
              <w:rPr>
                <w:rFonts w:hint="eastAsia" w:ascii="仿宋_GB2312" w:hAnsi="Times New Roman" w:cs="宋体"/>
                <w:kern w:val="0"/>
                <w:sz w:val="24"/>
              </w:rPr>
              <w:t>《</w:t>
            </w:r>
            <w:r>
              <w:rPr>
                <w:rFonts w:hint="eastAsia" w:ascii="仿宋_GB2312" w:hAnsi="Times New Roman" w:cs="宋体"/>
                <w:kern w:val="0"/>
                <w:sz w:val="24"/>
                <w:lang w:eastAsia="zh-CN"/>
              </w:rPr>
              <w:t>福建省人力资源服务机构从事职业中介活动行政许可申请表</w:t>
            </w:r>
            <w:r>
              <w:rPr>
                <w:rFonts w:hint="eastAsia" w:ascii="仿宋_GB2312" w:hAnsi="Times New Roman" w:cs="宋体"/>
                <w:kern w:val="0"/>
                <w:sz w:val="24"/>
              </w:rPr>
              <w:t>》一式三份；</w:t>
            </w:r>
          </w:p>
          <w:p w14:paraId="56CD21A8">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Times New Roman" w:cs="宋体"/>
                <w:kern w:val="0"/>
                <w:sz w:val="24"/>
              </w:rPr>
            </w:pPr>
            <w:r>
              <w:rPr>
                <w:rFonts w:hint="eastAsia" w:ascii="仿宋_GB2312" w:hAnsi="Times New Roman" w:cs="宋体"/>
                <w:kern w:val="0"/>
                <w:sz w:val="24"/>
                <w:lang w:val="en-US" w:eastAsia="zh-CN"/>
              </w:rPr>
              <w:t>2、</w:t>
            </w:r>
            <w:r>
              <w:rPr>
                <w:rFonts w:hint="eastAsia" w:ascii="仿宋_GB2312" w:hAnsi="Times New Roman" w:cs="宋体"/>
                <w:kern w:val="0"/>
                <w:sz w:val="24"/>
              </w:rPr>
              <w:t>营业执照；</w:t>
            </w:r>
          </w:p>
          <w:p w14:paraId="591184D6">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Times New Roman" w:cs="宋体"/>
                <w:kern w:val="0"/>
                <w:sz w:val="24"/>
              </w:rPr>
            </w:pPr>
            <w:r>
              <w:rPr>
                <w:rFonts w:hint="eastAsia" w:ascii="仿宋_GB2312" w:hAnsi="Times New Roman" w:cs="宋体"/>
                <w:kern w:val="0"/>
                <w:sz w:val="24"/>
                <w:lang w:val="en-US" w:eastAsia="zh-CN"/>
              </w:rPr>
              <w:t>3、机构</w:t>
            </w:r>
            <w:r>
              <w:rPr>
                <w:rFonts w:hint="eastAsia" w:ascii="仿宋_GB2312" w:hAnsi="Times New Roman" w:cs="宋体"/>
                <w:kern w:val="0"/>
                <w:sz w:val="24"/>
              </w:rPr>
              <w:t>章程和管理制度；</w:t>
            </w:r>
          </w:p>
          <w:p w14:paraId="78155390">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仿宋_GB2312" w:hAnsi="Times New Roman" w:cs="宋体"/>
                <w:bCs w:val="0"/>
                <w:color w:val="000000"/>
                <w:kern w:val="0"/>
                <w:sz w:val="24"/>
              </w:rPr>
            </w:pPr>
            <w:r>
              <w:rPr>
                <w:rFonts w:hint="eastAsia" w:ascii="仿宋_GB2312" w:hAnsi="Times New Roman" w:cs="宋体"/>
                <w:kern w:val="0"/>
                <w:sz w:val="24"/>
                <w:lang w:val="en-US" w:eastAsia="zh-CN"/>
              </w:rPr>
              <w:t>4、</w:t>
            </w:r>
            <w:r>
              <w:rPr>
                <w:rFonts w:hint="eastAsia" w:ascii="仿宋_GB2312" w:hAnsi="Times New Roman" w:cs="宋体"/>
                <w:kern w:val="0"/>
                <w:sz w:val="24"/>
              </w:rPr>
              <w:t>办公场所（或者服务场所）房产所有权或者使用权证明</w:t>
            </w:r>
            <w:r>
              <w:rPr>
                <w:rFonts w:hint="eastAsia" w:ascii="仿宋_GB2312" w:hAnsi="Times New Roman" w:cs="宋体"/>
                <w:kern w:val="0"/>
                <w:sz w:val="24"/>
                <w:lang w:eastAsia="zh-CN"/>
              </w:rPr>
              <w:t>，</w:t>
            </w:r>
            <w:r>
              <w:rPr>
                <w:rFonts w:hint="eastAsia" w:ascii="仿宋_GB2312" w:hAnsi="Times New Roman" w:cs="宋体"/>
                <w:bCs w:val="0"/>
                <w:color w:val="000000"/>
                <w:kern w:val="0"/>
                <w:sz w:val="24"/>
              </w:rPr>
              <w:t>或不少于1年租赁期的场所租赁协议；</w:t>
            </w:r>
          </w:p>
          <w:p w14:paraId="2BB172D1">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仿宋_GB2312" w:hAnsi="Times New Roman" w:cs="宋体"/>
                <w:bCs w:val="0"/>
                <w:kern w:val="0"/>
                <w:sz w:val="24"/>
                <w:lang w:eastAsia="zh-CN"/>
              </w:rPr>
            </w:pPr>
            <w:r>
              <w:rPr>
                <w:rFonts w:hint="eastAsia" w:ascii="仿宋_GB2312" w:hAnsi="Times New Roman" w:cs="宋体"/>
                <w:kern w:val="0"/>
                <w:sz w:val="24"/>
                <w:lang w:val="en-US" w:eastAsia="zh-CN"/>
              </w:rPr>
              <w:t>5、</w:t>
            </w:r>
            <w:r>
              <w:rPr>
                <w:rFonts w:hint="eastAsia" w:ascii="仿宋_GB2312" w:hAnsi="Times New Roman" w:cs="宋体"/>
                <w:kern w:val="0"/>
                <w:sz w:val="24"/>
              </w:rPr>
              <w:t>有3名以上专职工作人员</w:t>
            </w:r>
            <w:r>
              <w:rPr>
                <w:rFonts w:hint="eastAsia" w:ascii="仿宋_GB2312" w:hAnsi="Times New Roman" w:cs="宋体"/>
                <w:kern w:val="0"/>
                <w:sz w:val="24"/>
                <w:lang w:eastAsia="zh-CN"/>
              </w:rPr>
              <w:t>的材料（</w:t>
            </w:r>
            <w:r>
              <w:rPr>
                <w:rFonts w:hint="eastAsia" w:ascii="仿宋_GB2312" w:hAnsi="Times New Roman" w:cs="宋体"/>
                <w:bCs w:val="0"/>
                <w:kern w:val="0"/>
                <w:sz w:val="24"/>
              </w:rPr>
              <w:t>包括身份证</w:t>
            </w:r>
            <w:r>
              <w:rPr>
                <w:rFonts w:hint="eastAsia" w:ascii="仿宋_GB2312" w:hAnsi="Times New Roman" w:cs="宋体"/>
                <w:bCs w:val="0"/>
                <w:kern w:val="0"/>
                <w:sz w:val="24"/>
                <w:lang w:eastAsia="zh-CN"/>
              </w:rPr>
              <w:t>明</w:t>
            </w:r>
            <w:r>
              <w:rPr>
                <w:rFonts w:hint="eastAsia" w:ascii="仿宋_GB2312" w:hAnsi="Times New Roman" w:cs="宋体"/>
                <w:bCs w:val="0"/>
                <w:strike w:val="0"/>
                <w:kern w:val="0"/>
                <w:sz w:val="24"/>
              </w:rPr>
              <w:t>、</w:t>
            </w:r>
            <w:r>
              <w:rPr>
                <w:rFonts w:hint="eastAsia" w:ascii="仿宋_GB2312" w:hAnsi="Times New Roman" w:cs="宋体"/>
                <w:kern w:val="0"/>
                <w:sz w:val="24"/>
              </w:rPr>
              <w:t>社保缴交记录</w:t>
            </w:r>
            <w:r>
              <w:rPr>
                <w:rFonts w:hint="eastAsia" w:ascii="仿宋_GB2312" w:hAnsi="Times New Roman" w:cs="宋体"/>
                <w:bCs w:val="0"/>
                <w:kern w:val="0"/>
                <w:sz w:val="24"/>
              </w:rPr>
              <w:t>）</w:t>
            </w:r>
            <w:r>
              <w:rPr>
                <w:rFonts w:hint="eastAsia" w:ascii="仿宋_GB2312" w:hAnsi="Times New Roman" w:cs="宋体"/>
                <w:bCs w:val="0"/>
                <w:kern w:val="0"/>
                <w:sz w:val="24"/>
                <w:lang w:eastAsia="zh-CN"/>
              </w:rPr>
              <w:t>；</w:t>
            </w:r>
          </w:p>
          <w:p w14:paraId="0679C1A8">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仿宋_GB2312" w:hAnsi="Times New Roman" w:cs="宋体"/>
                <w:bCs w:val="0"/>
                <w:kern w:val="0"/>
                <w:sz w:val="24"/>
                <w:lang w:val="en-US" w:eastAsia="zh-CN"/>
              </w:rPr>
            </w:pPr>
            <w:r>
              <w:rPr>
                <w:rFonts w:hint="eastAsia" w:ascii="仿宋_GB2312" w:hAnsi="Times New Roman" w:cs="宋体"/>
                <w:bCs w:val="0"/>
                <w:kern w:val="0"/>
                <w:sz w:val="24"/>
                <w:lang w:val="en-US" w:eastAsia="zh-CN"/>
              </w:rPr>
              <w:t>6、法定代表人身份证明；</w:t>
            </w:r>
          </w:p>
          <w:p w14:paraId="05C6B1AC">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Times New Roman" w:cs="宋体"/>
                <w:kern w:val="0"/>
                <w:sz w:val="24"/>
                <w:lang w:val="en-US" w:eastAsia="zh-CN"/>
              </w:rPr>
            </w:pPr>
            <w:r>
              <w:rPr>
                <w:rFonts w:hint="eastAsia" w:ascii="仿宋_GB2312" w:hAnsi="Times New Roman" w:cs="宋体"/>
                <w:kern w:val="0"/>
                <w:sz w:val="24"/>
                <w:lang w:val="en-US" w:eastAsia="zh-CN"/>
              </w:rPr>
              <w:t>7、授权委托书；</w:t>
            </w:r>
          </w:p>
          <w:p w14:paraId="02E29893">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Times New Roman" w:cs="宋体"/>
                <w:kern w:val="0"/>
                <w:sz w:val="24"/>
              </w:rPr>
            </w:pPr>
            <w:r>
              <w:rPr>
                <w:rFonts w:hint="eastAsia" w:ascii="仿宋_GB2312" w:hAnsi="Times New Roman" w:cs="宋体"/>
                <w:kern w:val="0"/>
                <w:sz w:val="24"/>
                <w:lang w:val="en-US" w:eastAsia="zh-CN"/>
              </w:rPr>
              <w:t>8、经办人身份证明；</w:t>
            </w:r>
          </w:p>
          <w:p w14:paraId="3A31CF97">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Times New Roman" w:cs="宋体"/>
                <w:b/>
                <w:bCs/>
                <w:kern w:val="0"/>
                <w:sz w:val="24"/>
                <w:lang w:val="en-US" w:eastAsia="zh-CN"/>
              </w:rPr>
            </w:pPr>
            <w:r>
              <w:rPr>
                <w:rFonts w:hint="eastAsia" w:ascii="仿宋_GB2312" w:hAnsi="Times New Roman" w:cs="宋体"/>
                <w:b/>
                <w:bCs/>
                <w:kern w:val="0"/>
                <w:sz w:val="24"/>
                <w:lang w:val="en-US" w:eastAsia="zh-CN"/>
              </w:rPr>
              <w:t>申请从事网络招聘服务的，还需提供：</w:t>
            </w:r>
          </w:p>
          <w:p w14:paraId="458027FD">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Times New Roman" w:cs="宋体"/>
                <w:kern w:val="0"/>
                <w:sz w:val="24"/>
                <w:lang w:val="en-US" w:eastAsia="zh-CN"/>
              </w:rPr>
            </w:pPr>
            <w:r>
              <w:rPr>
                <w:rFonts w:hint="eastAsia" w:ascii="仿宋_GB2312" w:hAnsi="Times New Roman" w:cs="宋体"/>
                <w:kern w:val="0"/>
                <w:sz w:val="24"/>
                <w:lang w:val="en-US" w:eastAsia="zh-CN"/>
              </w:rPr>
              <w:t>9、</w:t>
            </w:r>
            <w:r>
              <w:rPr>
                <w:rFonts w:hint="eastAsia" w:ascii="仿宋_GB2312" w:hAnsi="Times New Roman" w:cs="宋体"/>
                <w:kern w:val="0"/>
                <w:sz w:val="24"/>
              </w:rPr>
              <w:t>中华人民共和国</w:t>
            </w:r>
            <w:r>
              <w:rPr>
                <w:rFonts w:hint="eastAsia" w:ascii="仿宋_GB2312" w:hAnsi="Times New Roman" w:cs="宋体"/>
                <w:kern w:val="0"/>
                <w:sz w:val="24"/>
                <w:lang w:eastAsia="zh-CN"/>
              </w:rPr>
              <w:t>电信</w:t>
            </w:r>
            <w:r>
              <w:rPr>
                <w:rFonts w:hint="eastAsia" w:ascii="仿宋_GB2312" w:hAnsi="Times New Roman" w:cs="宋体"/>
                <w:kern w:val="0"/>
                <w:sz w:val="24"/>
              </w:rPr>
              <w:t>业务经营许可证</w:t>
            </w:r>
            <w:r>
              <w:rPr>
                <w:rFonts w:hint="eastAsia" w:ascii="仿宋_GB2312" w:hAnsi="Times New Roman" w:cs="宋体"/>
                <w:kern w:val="0"/>
                <w:sz w:val="24"/>
                <w:lang w:val="en-US" w:eastAsia="zh-CN"/>
              </w:rPr>
              <w:t>。</w:t>
            </w:r>
          </w:p>
        </w:tc>
      </w:tr>
      <w:tr w14:paraId="382FF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796" w:type="dxa"/>
            <w:noWrap w:val="0"/>
            <w:vAlign w:val="center"/>
          </w:tcPr>
          <w:p w14:paraId="4F325C59">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5</w:t>
            </w:r>
          </w:p>
        </w:tc>
        <w:tc>
          <w:tcPr>
            <w:tcW w:w="1260" w:type="dxa"/>
            <w:noWrap w:val="0"/>
            <w:vAlign w:val="center"/>
          </w:tcPr>
          <w:p w14:paraId="4531DA2F">
            <w:pPr>
              <w:widowControl/>
              <w:spacing w:line="240" w:lineRule="exact"/>
              <w:jc w:val="both"/>
              <w:rPr>
                <w:rFonts w:ascii="仿宋_GB2312" w:hAnsi="Times New Roman" w:cs="宋体"/>
                <w:kern w:val="0"/>
                <w:sz w:val="24"/>
              </w:rPr>
            </w:pPr>
            <w:r>
              <w:rPr>
                <w:rFonts w:hint="eastAsia" w:ascii="华文楷体" w:hAnsi="华文楷体" w:eastAsia="华文楷体" w:cs="宋体"/>
                <w:kern w:val="0"/>
                <w:sz w:val="24"/>
              </w:rPr>
              <w:t>申报条件及标准</w:t>
            </w:r>
          </w:p>
        </w:tc>
        <w:tc>
          <w:tcPr>
            <w:tcW w:w="7200" w:type="dxa"/>
            <w:noWrap w:val="0"/>
            <w:vAlign w:val="center"/>
          </w:tcPr>
          <w:p w14:paraId="4BE48164">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仿宋_GB2312" w:hAnsi="Times New Roman" w:cs="宋体"/>
                <w:kern w:val="0"/>
                <w:sz w:val="24"/>
              </w:rPr>
            </w:pPr>
            <w:r>
              <w:rPr>
                <w:rFonts w:hint="eastAsia" w:ascii="仿宋_GB2312" w:hAnsi="Times New Roman" w:cs="宋体"/>
                <w:kern w:val="0"/>
                <w:sz w:val="24"/>
                <w:lang w:val="en-US" w:eastAsia="zh-CN"/>
              </w:rPr>
              <w:t>1、</w:t>
            </w:r>
            <w:r>
              <w:rPr>
                <w:rFonts w:hint="eastAsia" w:ascii="仿宋_GB2312" w:hAnsi="Times New Roman" w:cs="宋体"/>
                <w:kern w:val="0"/>
                <w:sz w:val="24"/>
              </w:rPr>
              <w:t>有开展</w:t>
            </w:r>
            <w:r>
              <w:rPr>
                <w:rFonts w:hint="eastAsia" w:ascii="仿宋_GB2312" w:hAnsi="Times New Roman" w:cs="宋体"/>
                <w:kern w:val="0"/>
                <w:sz w:val="24"/>
                <w:lang w:eastAsia="zh-CN"/>
              </w:rPr>
              <w:t>职业中介</w:t>
            </w:r>
            <w:r>
              <w:rPr>
                <w:rFonts w:hint="eastAsia" w:ascii="仿宋_GB2312" w:hAnsi="Times New Roman" w:cs="宋体"/>
                <w:kern w:val="0"/>
                <w:sz w:val="24"/>
              </w:rPr>
              <w:t>业务必备的固定场所、办公设施</w:t>
            </w:r>
            <w:r>
              <w:rPr>
                <w:rFonts w:hint="eastAsia" w:ascii="仿宋_GB2312" w:hAnsi="Times New Roman" w:cs="宋体"/>
                <w:kern w:val="0"/>
                <w:sz w:val="24"/>
                <w:lang w:eastAsia="zh-CN"/>
              </w:rPr>
              <w:t>；</w:t>
            </w:r>
          </w:p>
          <w:p w14:paraId="04AC8887">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仿宋_GB2312" w:hAnsi="Times New Roman" w:cs="宋体"/>
                <w:kern w:val="0"/>
                <w:sz w:val="24"/>
              </w:rPr>
            </w:pPr>
            <w:r>
              <w:rPr>
                <w:rFonts w:hint="eastAsia" w:ascii="仿宋_GB2312" w:hAnsi="Times New Roman" w:cs="宋体"/>
                <w:kern w:val="0"/>
                <w:sz w:val="24"/>
                <w:lang w:val="en-US" w:eastAsia="zh-CN"/>
              </w:rPr>
              <w:t>2、</w:t>
            </w:r>
            <w:r>
              <w:rPr>
                <w:rFonts w:hint="eastAsia" w:ascii="仿宋_GB2312" w:hAnsi="Times New Roman" w:cs="宋体"/>
                <w:kern w:val="0"/>
                <w:sz w:val="24"/>
                <w:lang w:eastAsia="zh-CN"/>
              </w:rPr>
              <w:t>有</w:t>
            </w:r>
            <w:r>
              <w:rPr>
                <w:rFonts w:hint="eastAsia" w:ascii="仿宋_GB2312" w:hAnsi="Times New Roman" w:cs="宋体"/>
                <w:kern w:val="0"/>
                <w:sz w:val="24"/>
              </w:rPr>
              <w:t>一定数额的开办资金；</w:t>
            </w:r>
          </w:p>
          <w:p w14:paraId="6490A8AC">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仿宋_GB2312" w:hAnsi="Times New Roman" w:cs="宋体"/>
                <w:kern w:val="0"/>
                <w:sz w:val="24"/>
              </w:rPr>
            </w:pPr>
            <w:r>
              <w:rPr>
                <w:rFonts w:hint="eastAsia" w:ascii="仿宋_GB2312" w:hAnsi="Times New Roman" w:cs="宋体"/>
                <w:kern w:val="0"/>
                <w:sz w:val="24"/>
                <w:lang w:val="en-US" w:eastAsia="zh-CN"/>
              </w:rPr>
              <w:t>3、</w:t>
            </w:r>
            <w:r>
              <w:rPr>
                <w:rFonts w:hint="eastAsia" w:ascii="仿宋_GB2312" w:hAnsi="Times New Roman" w:cs="宋体"/>
                <w:kern w:val="0"/>
                <w:sz w:val="24"/>
              </w:rPr>
              <w:t>有3名以上专职工作人员(以社保缴交记录为证)；</w:t>
            </w:r>
          </w:p>
          <w:p w14:paraId="38D61DEC">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仿宋_GB2312" w:hAnsi="Times New Roman" w:cs="宋体"/>
                <w:kern w:val="0"/>
                <w:sz w:val="24"/>
                <w:lang w:eastAsia="zh-CN"/>
              </w:rPr>
            </w:pPr>
            <w:r>
              <w:rPr>
                <w:rFonts w:hint="eastAsia" w:ascii="仿宋_GB2312" w:hAnsi="Times New Roman" w:cs="宋体"/>
                <w:kern w:val="0"/>
                <w:sz w:val="24"/>
                <w:lang w:val="en-US" w:eastAsia="zh-CN"/>
              </w:rPr>
              <w:t>4、</w:t>
            </w:r>
            <w:r>
              <w:rPr>
                <w:rFonts w:hint="eastAsia" w:ascii="仿宋_GB2312" w:hAnsi="Times New Roman" w:cs="宋体"/>
                <w:kern w:val="0"/>
                <w:sz w:val="24"/>
              </w:rPr>
              <w:t>有管理制度和章程</w:t>
            </w:r>
            <w:r>
              <w:rPr>
                <w:rFonts w:hint="eastAsia" w:ascii="仿宋_GB2312" w:hAnsi="Times New Roman" w:cs="宋体"/>
                <w:kern w:val="0"/>
                <w:sz w:val="24"/>
                <w:lang w:eastAsia="zh-CN"/>
              </w:rPr>
              <w:t>。</w:t>
            </w:r>
          </w:p>
        </w:tc>
      </w:tr>
      <w:tr w14:paraId="788D7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0" w:hRule="atLeast"/>
          <w:jc w:val="center"/>
        </w:trPr>
        <w:tc>
          <w:tcPr>
            <w:tcW w:w="796" w:type="dxa"/>
            <w:noWrap w:val="0"/>
            <w:vAlign w:val="center"/>
          </w:tcPr>
          <w:p w14:paraId="489B7F3B">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6</w:t>
            </w:r>
          </w:p>
        </w:tc>
        <w:tc>
          <w:tcPr>
            <w:tcW w:w="1260" w:type="dxa"/>
            <w:noWrap w:val="0"/>
            <w:vAlign w:val="center"/>
          </w:tcPr>
          <w:p w14:paraId="6A1B22FC">
            <w:pPr>
              <w:widowControl/>
              <w:spacing w:line="240" w:lineRule="atLeast"/>
              <w:jc w:val="both"/>
              <w:rPr>
                <w:rFonts w:ascii="华文楷体" w:hAnsi="华文楷体" w:eastAsia="华文楷体" w:cs="宋体"/>
                <w:kern w:val="0"/>
                <w:sz w:val="24"/>
              </w:rPr>
            </w:pPr>
            <w:r>
              <w:rPr>
                <w:rFonts w:hint="eastAsia" w:ascii="华文楷体" w:hAnsi="华文楷体" w:eastAsia="华文楷体" w:cs="宋体"/>
                <w:kern w:val="0"/>
                <w:sz w:val="24"/>
              </w:rPr>
              <w:t>办理流程</w:t>
            </w:r>
          </w:p>
        </w:tc>
        <w:tc>
          <w:tcPr>
            <w:tcW w:w="7200" w:type="dxa"/>
            <w:tcBorders>
              <w:bottom w:val="single" w:color="auto" w:sz="4" w:space="0"/>
            </w:tcBorders>
            <w:noWrap w:val="0"/>
            <w:vAlign w:val="center"/>
          </w:tcPr>
          <w:p w14:paraId="16082866">
            <w:pPr>
              <w:jc w:val="both"/>
              <w:rPr>
                <w:rFonts w:ascii="仿宋_GB2312" w:hAnsi="Times New Roman" w:cs="宋体"/>
                <w:kern w:val="0"/>
                <w:sz w:val="24"/>
              </w:rPr>
            </w:pPr>
            <w:r>
              <w:rPr>
                <w:rFonts w:hint="eastAsia" w:ascii="仿宋_GB2312" w:hAnsi="Times New Roman" w:cs="宋体"/>
                <w:kern w:val="0"/>
                <w:sz w:val="24"/>
              </w:rPr>
              <w:t>受理</w:t>
            </w:r>
            <w:r>
              <w:rPr>
                <w:rFonts w:hint="eastAsia" w:ascii="仿宋_GB2312" w:hAnsi="Times New Roman" w:cs="宋体"/>
                <w:kern w:val="0"/>
                <w:sz w:val="24"/>
                <w:lang w:eastAsia="zh-CN"/>
              </w:rPr>
              <w:t>—</w:t>
            </w:r>
            <w:r>
              <w:rPr>
                <w:rFonts w:hint="eastAsia" w:ascii="仿宋_GB2312" w:hAnsi="Times New Roman" w:cs="宋体"/>
                <w:kern w:val="0"/>
                <w:sz w:val="24"/>
              </w:rPr>
              <w:t>审批</w:t>
            </w:r>
            <w:r>
              <w:rPr>
                <w:rFonts w:hint="eastAsia" w:ascii="仿宋_GB2312" w:hAnsi="Times New Roman" w:cs="宋体"/>
                <w:kern w:val="0"/>
                <w:sz w:val="24"/>
                <w:lang w:eastAsia="zh-CN"/>
              </w:rPr>
              <w:t>—</w:t>
            </w:r>
            <w:r>
              <w:rPr>
                <w:rFonts w:hint="eastAsia" w:ascii="仿宋_GB2312" w:hAnsi="Times New Roman" w:cs="宋体"/>
                <w:kern w:val="0"/>
                <w:sz w:val="24"/>
              </w:rPr>
              <w:t>办结</w:t>
            </w:r>
          </w:p>
        </w:tc>
      </w:tr>
      <w:tr w14:paraId="44DBC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0" w:hRule="atLeast"/>
          <w:jc w:val="center"/>
        </w:trPr>
        <w:tc>
          <w:tcPr>
            <w:tcW w:w="796" w:type="dxa"/>
            <w:noWrap w:val="0"/>
            <w:vAlign w:val="center"/>
          </w:tcPr>
          <w:p w14:paraId="06971B0F">
            <w:pPr>
              <w:widowControl/>
              <w:spacing w:line="240" w:lineRule="atLeast"/>
              <w:jc w:val="center"/>
              <w:rPr>
                <w:rFonts w:hint="eastAsia" w:ascii="华文楷体" w:hAnsi="华文楷体" w:eastAsia="华文楷体" w:cs="宋体"/>
                <w:kern w:val="0"/>
                <w:sz w:val="24"/>
                <w:lang w:val="en-US" w:eastAsia="zh-CN"/>
              </w:rPr>
            </w:pPr>
            <w:r>
              <w:rPr>
                <w:rFonts w:hint="eastAsia" w:ascii="华文楷体" w:hAnsi="华文楷体" w:eastAsia="华文楷体" w:cs="宋体"/>
                <w:kern w:val="0"/>
                <w:sz w:val="24"/>
                <w:lang w:val="en-US" w:eastAsia="zh-CN"/>
              </w:rPr>
              <w:t>7</w:t>
            </w:r>
          </w:p>
        </w:tc>
        <w:tc>
          <w:tcPr>
            <w:tcW w:w="1260" w:type="dxa"/>
            <w:noWrap w:val="0"/>
            <w:vAlign w:val="center"/>
          </w:tcPr>
          <w:p w14:paraId="06430C47">
            <w:pPr>
              <w:widowControl/>
              <w:spacing w:line="240" w:lineRule="atLeast"/>
              <w:jc w:val="both"/>
              <w:rPr>
                <w:rFonts w:hint="eastAsia" w:ascii="华文楷体" w:hAnsi="华文楷体" w:eastAsia="华文楷体" w:cs="宋体"/>
                <w:kern w:val="0"/>
                <w:sz w:val="24"/>
                <w:lang w:eastAsia="zh-CN"/>
              </w:rPr>
            </w:pPr>
            <w:r>
              <w:rPr>
                <w:rFonts w:hint="eastAsia" w:ascii="华文楷体" w:hAnsi="华文楷体" w:eastAsia="华文楷体" w:cs="宋体"/>
                <w:kern w:val="0"/>
                <w:sz w:val="24"/>
                <w:lang w:eastAsia="zh-CN"/>
              </w:rPr>
              <w:t>法定时限</w:t>
            </w:r>
          </w:p>
        </w:tc>
        <w:tc>
          <w:tcPr>
            <w:tcW w:w="7200" w:type="dxa"/>
            <w:tcBorders>
              <w:bottom w:val="single" w:color="auto" w:sz="4" w:space="0"/>
            </w:tcBorders>
            <w:noWrap w:val="0"/>
            <w:vAlign w:val="center"/>
          </w:tcPr>
          <w:p w14:paraId="72AB64C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Times New Roman" w:eastAsia="仿宋_GB2312" w:cs="宋体"/>
                <w:kern w:val="0"/>
                <w:sz w:val="24"/>
                <w:lang w:val="en-US" w:eastAsia="zh-CN"/>
              </w:rPr>
            </w:pPr>
            <w:r>
              <w:rPr>
                <w:rFonts w:hint="eastAsia" w:ascii="仿宋_GB2312" w:hAnsi="仿宋_GB2312" w:eastAsia="仿宋_GB2312" w:cs="仿宋_GB2312"/>
                <w:kern w:val="0"/>
                <w:sz w:val="24"/>
                <w:szCs w:val="24"/>
                <w:shd w:val="clear" w:color="auto" w:fill="FFFFFF"/>
                <w:lang w:val="en-US" w:eastAsia="zh-CN" w:bidi="ar"/>
              </w:rPr>
              <w:t>收到申请之日起20日内依法作出行政许可决定</w:t>
            </w:r>
            <w:r>
              <w:rPr>
                <w:rFonts w:hint="eastAsia" w:ascii="仿宋_GB2312" w:hAnsi="仿宋_GB2312" w:cs="仿宋_GB2312"/>
                <w:kern w:val="0"/>
                <w:sz w:val="24"/>
                <w:szCs w:val="24"/>
                <w:shd w:val="clear" w:color="auto" w:fill="FFFFFF"/>
                <w:lang w:val="en-US" w:eastAsia="zh-CN" w:bidi="ar"/>
              </w:rPr>
              <w:t>，</w:t>
            </w:r>
            <w:r>
              <w:rPr>
                <w:rFonts w:hint="eastAsia" w:ascii="仿宋_GB2312" w:hAnsi="仿宋_GB2312" w:eastAsia="仿宋_GB2312" w:cs="仿宋_GB2312"/>
                <w:sz w:val="24"/>
                <w:szCs w:val="24"/>
                <w:shd w:val="clear" w:color="auto" w:fill="FFFFFF"/>
              </w:rPr>
              <w:t>自作出决定之日起10日内向申请人颁发、送达人力资源服务许可证</w:t>
            </w:r>
            <w:r>
              <w:rPr>
                <w:rFonts w:hint="eastAsia" w:ascii="仿宋_GB2312" w:hAnsi="仿宋_GB2312" w:cs="仿宋_GB2312"/>
                <w:sz w:val="24"/>
                <w:szCs w:val="24"/>
                <w:shd w:val="clear" w:color="auto" w:fill="FFFFFF"/>
                <w:lang w:eastAsia="zh-CN"/>
              </w:rPr>
              <w:t>。</w:t>
            </w:r>
          </w:p>
        </w:tc>
      </w:tr>
      <w:tr w14:paraId="0BDF0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0" w:hRule="atLeast"/>
          <w:jc w:val="center"/>
        </w:trPr>
        <w:tc>
          <w:tcPr>
            <w:tcW w:w="796" w:type="dxa"/>
            <w:tcBorders>
              <w:bottom w:val="single" w:color="auto" w:sz="4" w:space="0"/>
            </w:tcBorders>
            <w:noWrap w:val="0"/>
            <w:vAlign w:val="center"/>
          </w:tcPr>
          <w:p w14:paraId="2C9F0585">
            <w:pPr>
              <w:widowControl/>
              <w:spacing w:line="240" w:lineRule="atLeast"/>
              <w:jc w:val="center"/>
              <w:rPr>
                <w:rFonts w:hint="eastAsia" w:ascii="华文楷体" w:hAnsi="华文楷体" w:eastAsia="华文楷体" w:cs="宋体"/>
                <w:kern w:val="0"/>
                <w:sz w:val="24"/>
                <w:lang w:eastAsia="zh-CN"/>
              </w:rPr>
            </w:pPr>
            <w:r>
              <w:rPr>
                <w:rFonts w:hint="eastAsia" w:ascii="华文楷体" w:hAnsi="华文楷体" w:eastAsia="华文楷体" w:cs="宋体"/>
                <w:kern w:val="0"/>
                <w:sz w:val="24"/>
                <w:lang w:val="en-US" w:eastAsia="zh-CN"/>
              </w:rPr>
              <w:t>8</w:t>
            </w:r>
          </w:p>
        </w:tc>
        <w:tc>
          <w:tcPr>
            <w:tcW w:w="1260" w:type="dxa"/>
            <w:tcBorders>
              <w:bottom w:val="single" w:color="auto" w:sz="4" w:space="0"/>
            </w:tcBorders>
            <w:noWrap w:val="0"/>
            <w:vAlign w:val="center"/>
          </w:tcPr>
          <w:p w14:paraId="113704CB">
            <w:pPr>
              <w:widowControl/>
              <w:spacing w:line="240" w:lineRule="atLeast"/>
              <w:jc w:val="both"/>
              <w:rPr>
                <w:rFonts w:ascii="华文楷体" w:hAnsi="华文楷体" w:eastAsia="华文楷体" w:cs="宋体"/>
                <w:kern w:val="0"/>
                <w:sz w:val="24"/>
              </w:rPr>
            </w:pPr>
            <w:r>
              <w:rPr>
                <w:rFonts w:hint="eastAsia" w:ascii="华文楷体" w:hAnsi="华文楷体" w:eastAsia="华文楷体" w:cs="宋体"/>
                <w:kern w:val="0"/>
                <w:sz w:val="24"/>
                <w:lang w:eastAsia="zh-CN"/>
              </w:rPr>
              <w:t>办理</w:t>
            </w:r>
            <w:r>
              <w:rPr>
                <w:rFonts w:hint="eastAsia" w:ascii="华文楷体" w:hAnsi="华文楷体" w:eastAsia="华文楷体" w:cs="宋体"/>
                <w:kern w:val="0"/>
                <w:sz w:val="24"/>
              </w:rPr>
              <w:t>时限</w:t>
            </w:r>
          </w:p>
        </w:tc>
        <w:tc>
          <w:tcPr>
            <w:tcW w:w="7200" w:type="dxa"/>
            <w:tcBorders>
              <w:top w:val="single" w:color="auto" w:sz="4" w:space="0"/>
              <w:bottom w:val="single" w:color="auto" w:sz="4" w:space="0"/>
            </w:tcBorders>
            <w:noWrap w:val="0"/>
            <w:vAlign w:val="center"/>
          </w:tcPr>
          <w:p w14:paraId="022D1B12">
            <w:pPr>
              <w:jc w:val="both"/>
              <w:rPr>
                <w:rFonts w:hint="eastAsia" w:ascii="仿宋_GB2312" w:hAnsi="宋体" w:eastAsia="仿宋_GB2312" w:cs="宋体"/>
                <w:color w:val="000000"/>
                <w:sz w:val="24"/>
                <w:lang w:eastAsia="zh-CN"/>
              </w:rPr>
            </w:pPr>
            <w:r>
              <w:rPr>
                <w:rFonts w:hint="eastAsia" w:ascii="仿宋_GB2312" w:hAnsi="宋体" w:cs="宋体"/>
                <w:color w:val="000000"/>
                <w:sz w:val="24"/>
                <w:lang w:eastAsia="zh-CN"/>
              </w:rPr>
              <w:t>即办件</w:t>
            </w:r>
          </w:p>
        </w:tc>
      </w:tr>
      <w:tr w14:paraId="131F1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2" w:hRule="atLeast"/>
          <w:jc w:val="center"/>
        </w:trPr>
        <w:tc>
          <w:tcPr>
            <w:tcW w:w="796" w:type="dxa"/>
            <w:tcBorders>
              <w:top w:val="single" w:color="auto" w:sz="4" w:space="0"/>
              <w:bottom w:val="single" w:color="auto" w:sz="4" w:space="0"/>
            </w:tcBorders>
            <w:noWrap w:val="0"/>
            <w:vAlign w:val="center"/>
          </w:tcPr>
          <w:p w14:paraId="66736A98">
            <w:pPr>
              <w:spacing w:line="240" w:lineRule="atLeast"/>
              <w:jc w:val="center"/>
              <w:rPr>
                <w:rFonts w:hint="eastAsia" w:ascii="华文楷体" w:hAnsi="华文楷体" w:eastAsia="华文楷体" w:cs="宋体"/>
                <w:kern w:val="0"/>
                <w:sz w:val="24"/>
                <w:lang w:eastAsia="zh-CN"/>
              </w:rPr>
            </w:pPr>
            <w:r>
              <w:rPr>
                <w:rFonts w:hint="eastAsia" w:ascii="华文楷体" w:hAnsi="华文楷体" w:eastAsia="华文楷体" w:cs="宋体"/>
                <w:kern w:val="0"/>
                <w:sz w:val="24"/>
                <w:lang w:val="en-US" w:eastAsia="zh-CN"/>
              </w:rPr>
              <w:t>9</w:t>
            </w:r>
          </w:p>
        </w:tc>
        <w:tc>
          <w:tcPr>
            <w:tcW w:w="1260" w:type="dxa"/>
            <w:tcBorders>
              <w:top w:val="single" w:color="auto" w:sz="4" w:space="0"/>
              <w:bottom w:val="single" w:color="auto" w:sz="4" w:space="0"/>
            </w:tcBorders>
            <w:noWrap w:val="0"/>
            <w:vAlign w:val="center"/>
          </w:tcPr>
          <w:p w14:paraId="1C975CCF">
            <w:pPr>
              <w:spacing w:line="220" w:lineRule="exact"/>
              <w:ind w:left="120" w:hanging="120" w:hangingChars="50"/>
              <w:jc w:val="both"/>
              <w:rPr>
                <w:rFonts w:ascii="华文楷体" w:hAnsi="华文楷体" w:eastAsia="华文楷体" w:cs="宋体"/>
                <w:kern w:val="0"/>
                <w:sz w:val="24"/>
              </w:rPr>
            </w:pPr>
            <w:r>
              <w:rPr>
                <w:rFonts w:hint="eastAsia" w:ascii="华文楷体" w:hAnsi="华文楷体" w:eastAsia="华文楷体" w:cs="宋体"/>
                <w:kern w:val="0"/>
                <w:sz w:val="24"/>
              </w:rPr>
              <w:t>收费标准及依据</w:t>
            </w:r>
          </w:p>
        </w:tc>
        <w:tc>
          <w:tcPr>
            <w:tcW w:w="7200" w:type="dxa"/>
            <w:tcBorders>
              <w:top w:val="single" w:color="auto" w:sz="4" w:space="0"/>
              <w:bottom w:val="single" w:color="auto" w:sz="4" w:space="0"/>
            </w:tcBorders>
            <w:noWrap w:val="0"/>
            <w:vAlign w:val="center"/>
          </w:tcPr>
          <w:p w14:paraId="2658BF83">
            <w:pPr>
              <w:spacing w:line="240" w:lineRule="atLeast"/>
              <w:jc w:val="both"/>
              <w:rPr>
                <w:rFonts w:ascii="仿宋_GB2312" w:hAnsi="Times New Roman" w:cs="宋体"/>
                <w:kern w:val="0"/>
                <w:sz w:val="24"/>
              </w:rPr>
            </w:pPr>
            <w:r>
              <w:rPr>
                <w:rFonts w:hint="eastAsia" w:ascii="仿宋_GB2312" w:hAnsi="Times New Roman" w:cs="宋体"/>
                <w:kern w:val="0"/>
                <w:sz w:val="24"/>
              </w:rPr>
              <w:t>不收费</w:t>
            </w:r>
          </w:p>
        </w:tc>
      </w:tr>
      <w:tr w14:paraId="104CF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0" w:hRule="atLeast"/>
          <w:jc w:val="center"/>
        </w:trPr>
        <w:tc>
          <w:tcPr>
            <w:tcW w:w="796" w:type="dxa"/>
            <w:tcBorders>
              <w:top w:val="single" w:color="auto" w:sz="4" w:space="0"/>
              <w:bottom w:val="single" w:color="auto" w:sz="4" w:space="0"/>
            </w:tcBorders>
            <w:noWrap w:val="0"/>
            <w:vAlign w:val="center"/>
          </w:tcPr>
          <w:p w14:paraId="5BFB4FBC">
            <w:pPr>
              <w:spacing w:line="240" w:lineRule="atLeast"/>
              <w:jc w:val="center"/>
              <w:rPr>
                <w:rFonts w:hint="eastAsia" w:ascii="华文楷体" w:hAnsi="华文楷体" w:eastAsia="华文楷体" w:cs="宋体"/>
                <w:kern w:val="0"/>
                <w:sz w:val="24"/>
                <w:lang w:val="en-US" w:eastAsia="zh-CN"/>
              </w:rPr>
            </w:pPr>
            <w:r>
              <w:rPr>
                <w:rFonts w:hint="eastAsia" w:ascii="华文楷体" w:hAnsi="华文楷体" w:eastAsia="华文楷体" w:cs="宋体"/>
                <w:kern w:val="0"/>
                <w:sz w:val="24"/>
                <w:lang w:val="en-US" w:eastAsia="zh-CN"/>
              </w:rPr>
              <w:t>10</w:t>
            </w:r>
          </w:p>
        </w:tc>
        <w:tc>
          <w:tcPr>
            <w:tcW w:w="1260" w:type="dxa"/>
            <w:tcBorders>
              <w:top w:val="single" w:color="auto" w:sz="4" w:space="0"/>
              <w:bottom w:val="single" w:color="auto" w:sz="4" w:space="0"/>
            </w:tcBorders>
            <w:noWrap w:val="0"/>
            <w:vAlign w:val="center"/>
          </w:tcPr>
          <w:p w14:paraId="532FFBB1">
            <w:pPr>
              <w:spacing w:line="240" w:lineRule="atLeast"/>
              <w:jc w:val="both"/>
              <w:rPr>
                <w:rFonts w:hint="eastAsia" w:ascii="华文楷体" w:hAnsi="华文楷体" w:eastAsia="华文楷体" w:cs="宋体"/>
                <w:kern w:val="0"/>
                <w:sz w:val="24"/>
                <w:lang w:eastAsia="zh-CN"/>
              </w:rPr>
            </w:pPr>
            <w:r>
              <w:rPr>
                <w:rFonts w:hint="eastAsia" w:ascii="华文楷体" w:hAnsi="华文楷体" w:eastAsia="华文楷体" w:cs="宋体"/>
                <w:kern w:val="0"/>
                <w:sz w:val="24"/>
                <w:lang w:eastAsia="zh-CN"/>
              </w:rPr>
              <w:t>容缺受理</w:t>
            </w:r>
          </w:p>
        </w:tc>
        <w:tc>
          <w:tcPr>
            <w:tcW w:w="7200" w:type="dxa"/>
            <w:tcBorders>
              <w:top w:val="single" w:color="auto" w:sz="4" w:space="0"/>
              <w:bottom w:val="single" w:color="auto" w:sz="4" w:space="0"/>
            </w:tcBorders>
            <w:noWrap w:val="0"/>
            <w:vAlign w:val="center"/>
          </w:tcPr>
          <w:p w14:paraId="2E9181A0">
            <w:pPr>
              <w:spacing w:line="280" w:lineRule="exact"/>
              <w:jc w:val="both"/>
              <w:rPr>
                <w:rFonts w:hint="eastAsia" w:ascii="仿宋_GB2312" w:hAnsi="Times New Roman" w:eastAsia="仿宋_GB2312" w:cs="宋体"/>
                <w:kern w:val="0"/>
                <w:sz w:val="24"/>
                <w:lang w:eastAsia="zh-CN"/>
              </w:rPr>
            </w:pPr>
            <w:r>
              <w:rPr>
                <w:rFonts w:hint="eastAsia" w:ascii="仿宋_GB2312" w:hAnsi="Times New Roman" w:cs="宋体"/>
                <w:kern w:val="0"/>
                <w:sz w:val="24"/>
                <w:lang w:eastAsia="zh-CN"/>
              </w:rPr>
              <w:t>可实行告知承诺制</w:t>
            </w:r>
          </w:p>
        </w:tc>
      </w:tr>
      <w:tr w14:paraId="72624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3" w:hRule="atLeast"/>
          <w:jc w:val="center"/>
        </w:trPr>
        <w:tc>
          <w:tcPr>
            <w:tcW w:w="796" w:type="dxa"/>
            <w:tcBorders>
              <w:top w:val="single" w:color="auto" w:sz="4" w:space="0"/>
              <w:bottom w:val="single" w:color="auto" w:sz="4" w:space="0"/>
            </w:tcBorders>
            <w:noWrap w:val="0"/>
            <w:vAlign w:val="center"/>
          </w:tcPr>
          <w:p w14:paraId="0604F962">
            <w:pPr>
              <w:spacing w:line="240" w:lineRule="atLeast"/>
              <w:jc w:val="center"/>
              <w:rPr>
                <w:rFonts w:hint="eastAsia" w:ascii="华文楷体" w:hAnsi="华文楷体" w:eastAsia="华文楷体" w:cs="宋体"/>
                <w:kern w:val="0"/>
                <w:sz w:val="24"/>
                <w:lang w:val="en-US" w:eastAsia="zh-CN"/>
              </w:rPr>
            </w:pPr>
            <w:r>
              <w:rPr>
                <w:rFonts w:hint="eastAsia" w:ascii="华文楷体" w:hAnsi="华文楷体" w:eastAsia="华文楷体" w:cs="宋体"/>
                <w:kern w:val="0"/>
                <w:sz w:val="24"/>
                <w:lang w:val="en-US" w:eastAsia="zh-CN"/>
              </w:rPr>
              <w:t>11</w:t>
            </w:r>
          </w:p>
        </w:tc>
        <w:tc>
          <w:tcPr>
            <w:tcW w:w="1260" w:type="dxa"/>
            <w:tcBorders>
              <w:top w:val="single" w:color="auto" w:sz="4" w:space="0"/>
              <w:bottom w:val="single" w:color="auto" w:sz="4" w:space="0"/>
            </w:tcBorders>
            <w:noWrap w:val="0"/>
            <w:vAlign w:val="center"/>
          </w:tcPr>
          <w:p w14:paraId="1B86F230">
            <w:pPr>
              <w:spacing w:line="240" w:lineRule="atLeast"/>
              <w:jc w:val="both"/>
              <w:rPr>
                <w:rFonts w:hint="eastAsia" w:ascii="华文楷体" w:hAnsi="华文楷体" w:eastAsia="华文楷体" w:cs="宋体"/>
                <w:kern w:val="0"/>
                <w:sz w:val="24"/>
              </w:rPr>
            </w:pPr>
            <w:r>
              <w:rPr>
                <w:rFonts w:hint="eastAsia" w:ascii="华文楷体" w:hAnsi="华文楷体" w:eastAsia="华文楷体" w:cs="宋体"/>
                <w:kern w:val="0"/>
                <w:sz w:val="24"/>
              </w:rPr>
              <w:t>办理结果</w:t>
            </w:r>
          </w:p>
        </w:tc>
        <w:tc>
          <w:tcPr>
            <w:tcW w:w="7200" w:type="dxa"/>
            <w:tcBorders>
              <w:top w:val="single" w:color="auto" w:sz="4" w:space="0"/>
              <w:bottom w:val="single" w:color="auto" w:sz="4" w:space="0"/>
            </w:tcBorders>
            <w:noWrap w:val="0"/>
            <w:vAlign w:val="center"/>
          </w:tcPr>
          <w:p w14:paraId="436C493C">
            <w:pPr>
              <w:spacing w:line="280" w:lineRule="exact"/>
              <w:jc w:val="both"/>
              <w:rPr>
                <w:rFonts w:hint="eastAsia" w:ascii="仿宋_GB2312" w:hAnsi="Times New Roman" w:eastAsia="仿宋_GB2312" w:cs="宋体"/>
                <w:kern w:val="0"/>
                <w:sz w:val="24"/>
                <w:lang w:eastAsia="zh-CN"/>
              </w:rPr>
            </w:pPr>
            <w:r>
              <w:rPr>
                <w:rFonts w:hint="eastAsia" w:ascii="仿宋_GB2312" w:hAnsi="Times New Roman" w:cs="宋体"/>
                <w:kern w:val="0"/>
                <w:sz w:val="24"/>
              </w:rPr>
              <w:t>符合条件的，</w:t>
            </w:r>
            <w:r>
              <w:rPr>
                <w:rFonts w:hint="eastAsia" w:ascii="仿宋_GB2312" w:hAnsi="Times New Roman" w:cs="宋体"/>
                <w:kern w:val="0"/>
                <w:sz w:val="24"/>
                <w:lang w:eastAsia="zh-CN"/>
              </w:rPr>
              <w:t>作出准予行政许可决定并</w:t>
            </w:r>
            <w:r>
              <w:rPr>
                <w:rFonts w:hint="eastAsia" w:ascii="仿宋_GB2312" w:hAnsi="Times New Roman" w:cs="宋体"/>
                <w:kern w:val="0"/>
                <w:sz w:val="24"/>
              </w:rPr>
              <w:t>颁发人力资源服务许可证；不符合条件的作出不予</w:t>
            </w:r>
            <w:r>
              <w:rPr>
                <w:rFonts w:hint="eastAsia" w:ascii="仿宋_GB2312" w:hAnsi="Times New Roman" w:cs="宋体"/>
                <w:kern w:val="0"/>
                <w:sz w:val="24"/>
                <w:lang w:eastAsia="zh-CN"/>
              </w:rPr>
              <w:t>行政许可</w:t>
            </w:r>
            <w:r>
              <w:rPr>
                <w:rFonts w:hint="eastAsia" w:ascii="仿宋_GB2312" w:hAnsi="Times New Roman" w:cs="宋体"/>
                <w:kern w:val="0"/>
                <w:sz w:val="24"/>
              </w:rPr>
              <w:t>的书面决定并说明理由</w:t>
            </w:r>
            <w:r>
              <w:rPr>
                <w:rFonts w:hint="eastAsia" w:ascii="仿宋_GB2312" w:hAnsi="Times New Roman" w:cs="宋体"/>
                <w:kern w:val="0"/>
                <w:sz w:val="24"/>
                <w:lang w:eastAsia="zh-CN"/>
              </w:rPr>
              <w:t>，同时告知申请人享有依法申请行政复议或提起行政诉讼的权利。对</w:t>
            </w:r>
            <w:r>
              <w:rPr>
                <w:rFonts w:hint="eastAsia" w:ascii="仿宋_GB2312" w:cs="宋体"/>
                <w:kern w:val="0"/>
                <w:sz w:val="24"/>
                <w:lang w:eastAsia="zh-CN"/>
              </w:rPr>
              <w:t>有</w:t>
            </w:r>
            <w:r>
              <w:rPr>
                <w:rFonts w:hint="eastAsia" w:ascii="仿宋_GB2312" w:hAnsi="Times New Roman" w:cs="宋体"/>
                <w:kern w:val="0"/>
                <w:sz w:val="24"/>
                <w:lang w:eastAsia="zh-CN"/>
              </w:rPr>
              <w:t>从事网络招聘服务的，在</w:t>
            </w:r>
            <w:r>
              <w:rPr>
                <w:rFonts w:hint="eastAsia" w:ascii="仿宋_GB2312" w:cs="宋体"/>
                <w:kern w:val="0"/>
                <w:sz w:val="24"/>
                <w:lang w:eastAsia="zh-CN"/>
              </w:rPr>
              <w:t>许可证</w:t>
            </w:r>
            <w:r>
              <w:rPr>
                <w:rFonts w:hint="eastAsia" w:ascii="仿宋_GB2312" w:hAnsi="Times New Roman" w:cs="宋体"/>
                <w:kern w:val="0"/>
                <w:sz w:val="24"/>
                <w:lang w:eastAsia="zh-CN"/>
              </w:rPr>
              <w:t>服务范围中注明“开展网络招聘服务”。</w:t>
            </w:r>
          </w:p>
        </w:tc>
      </w:tr>
    </w:tbl>
    <w:p w14:paraId="7FC32E03">
      <w:pPr>
        <w:widowControl/>
        <w:spacing w:line="560" w:lineRule="exact"/>
        <w:jc w:val="both"/>
        <w:rPr>
          <w:rFonts w:hint="eastAsia" w:ascii="华文仿宋" w:hAnsi="华文仿宋" w:eastAsia="华文仿宋" w:cs="华文仿宋"/>
          <w:b w:val="0"/>
          <w:bCs/>
          <w:sz w:val="32"/>
          <w:szCs w:val="32"/>
          <w:lang w:eastAsia="zh-CN"/>
        </w:rPr>
      </w:pPr>
    </w:p>
    <w:p w14:paraId="1A9F23C2">
      <w:pPr>
        <w:widowControl w:val="0"/>
        <w:autoSpaceDE w:val="0"/>
        <w:autoSpaceDN w:val="0"/>
        <w:adjustRightInd w:val="0"/>
        <w:rPr>
          <w:rFonts w:hint="eastAsia" w:ascii="华文仿宋" w:hAnsi="华文仿宋" w:eastAsia="华文仿宋" w:cs="华文仿宋"/>
          <w:b w:val="0"/>
          <w:bCs/>
          <w:color w:val="000000"/>
          <w:sz w:val="32"/>
          <w:szCs w:val="32"/>
          <w:lang w:val="en-US" w:eastAsia="zh-CN" w:bidi="ar-SA"/>
        </w:rPr>
      </w:pPr>
    </w:p>
    <w:p w14:paraId="3D91E8AC">
      <w:pPr>
        <w:widowControl w:val="0"/>
        <w:autoSpaceDE w:val="0"/>
        <w:autoSpaceDN w:val="0"/>
        <w:adjustRightInd w:val="0"/>
        <w:rPr>
          <w:rFonts w:hint="eastAsia" w:ascii="华文仿宋" w:hAnsi="华文仿宋" w:eastAsia="华文仿宋" w:cs="华文仿宋"/>
          <w:b w:val="0"/>
          <w:bCs/>
          <w:color w:val="000000"/>
          <w:sz w:val="32"/>
          <w:szCs w:val="32"/>
          <w:lang w:val="en-US" w:eastAsia="zh-CN" w:bidi="ar-SA"/>
        </w:rPr>
      </w:pPr>
    </w:p>
    <w:p w14:paraId="2D223564">
      <w:pPr>
        <w:widowControl w:val="0"/>
        <w:autoSpaceDE w:val="0"/>
        <w:autoSpaceDN w:val="0"/>
        <w:adjustRightInd w:val="0"/>
        <w:rPr>
          <w:rFonts w:hint="eastAsia" w:ascii="华文仿宋" w:hAnsi="华文仿宋" w:eastAsia="华文仿宋" w:cs="华文仿宋"/>
          <w:b w:val="0"/>
          <w:bCs/>
          <w:color w:val="000000"/>
          <w:sz w:val="32"/>
          <w:szCs w:val="32"/>
          <w:lang w:val="en-US" w:eastAsia="zh-CN" w:bidi="ar-SA"/>
        </w:rPr>
      </w:pPr>
    </w:p>
    <w:p w14:paraId="5B11196D">
      <w:pPr>
        <w:widowControl w:val="0"/>
        <w:autoSpaceDE w:val="0"/>
        <w:autoSpaceDN w:val="0"/>
        <w:adjustRightInd w:val="0"/>
        <w:rPr>
          <w:rFonts w:hint="eastAsia" w:ascii="华文仿宋" w:hAnsi="华文仿宋" w:eastAsia="华文仿宋" w:cs="华文仿宋"/>
          <w:b w:val="0"/>
          <w:bCs/>
          <w:color w:val="000000"/>
          <w:sz w:val="32"/>
          <w:szCs w:val="32"/>
          <w:lang w:val="en-US" w:eastAsia="zh-CN" w:bidi="ar-SA"/>
        </w:rPr>
      </w:pPr>
    </w:p>
    <w:p w14:paraId="6DDCD9FB">
      <w:pPr>
        <w:widowControl w:val="0"/>
        <w:autoSpaceDE w:val="0"/>
        <w:autoSpaceDN w:val="0"/>
        <w:adjustRightInd w:val="0"/>
        <w:rPr>
          <w:rFonts w:hint="eastAsia" w:ascii="华文仿宋" w:hAnsi="华文仿宋" w:eastAsia="华文仿宋" w:cs="华文仿宋"/>
          <w:b w:val="0"/>
          <w:bCs/>
          <w:color w:val="000000"/>
          <w:sz w:val="32"/>
          <w:szCs w:val="32"/>
          <w:lang w:val="en-US" w:eastAsia="zh-CN" w:bidi="ar-SA"/>
        </w:rPr>
      </w:pPr>
    </w:p>
    <w:p w14:paraId="18BD1D00">
      <w:pPr>
        <w:widowControl w:val="0"/>
        <w:autoSpaceDE w:val="0"/>
        <w:autoSpaceDN w:val="0"/>
        <w:adjustRightInd w:val="0"/>
        <w:rPr>
          <w:rFonts w:hint="eastAsia" w:ascii="华文仿宋" w:hAnsi="华文仿宋" w:eastAsia="华文仿宋" w:cs="华文仿宋"/>
          <w:b w:val="0"/>
          <w:bCs/>
          <w:color w:val="000000"/>
          <w:sz w:val="32"/>
          <w:szCs w:val="32"/>
          <w:lang w:val="en-US" w:eastAsia="zh-CN" w:bidi="ar-SA"/>
        </w:rPr>
      </w:pPr>
    </w:p>
    <w:p w14:paraId="07127952">
      <w:pPr>
        <w:widowControl w:val="0"/>
        <w:autoSpaceDE w:val="0"/>
        <w:autoSpaceDN w:val="0"/>
        <w:adjustRightInd w:val="0"/>
        <w:rPr>
          <w:rFonts w:hint="eastAsia" w:ascii="华文仿宋" w:hAnsi="华文仿宋" w:eastAsia="华文仿宋" w:cs="华文仿宋"/>
          <w:b w:val="0"/>
          <w:bCs/>
          <w:color w:val="000000"/>
          <w:sz w:val="32"/>
          <w:szCs w:val="32"/>
          <w:lang w:val="en-US" w:eastAsia="zh-CN" w:bidi="ar-SA"/>
        </w:rPr>
      </w:pPr>
    </w:p>
    <w:p w14:paraId="453822A4">
      <w:pPr>
        <w:widowControl w:val="0"/>
        <w:autoSpaceDE w:val="0"/>
        <w:autoSpaceDN w:val="0"/>
        <w:adjustRightInd w:val="0"/>
        <w:rPr>
          <w:rFonts w:hint="eastAsia" w:ascii="华文仿宋" w:hAnsi="华文仿宋" w:eastAsia="华文仿宋" w:cs="华文仿宋"/>
          <w:b w:val="0"/>
          <w:bCs/>
          <w:color w:val="000000"/>
          <w:sz w:val="32"/>
          <w:szCs w:val="32"/>
          <w:lang w:val="en-US" w:eastAsia="zh-CN" w:bidi="ar-SA"/>
        </w:rPr>
      </w:pPr>
    </w:p>
    <w:p w14:paraId="1D42D551">
      <w:pPr>
        <w:widowControl w:val="0"/>
        <w:autoSpaceDE w:val="0"/>
        <w:autoSpaceDN w:val="0"/>
        <w:adjustRightInd w:val="0"/>
        <w:rPr>
          <w:rFonts w:hint="eastAsia" w:ascii="华文仿宋" w:hAnsi="华文仿宋" w:eastAsia="华文仿宋" w:cs="华文仿宋"/>
          <w:b w:val="0"/>
          <w:bCs/>
          <w:color w:val="000000"/>
          <w:sz w:val="32"/>
          <w:szCs w:val="32"/>
          <w:lang w:val="en-US" w:eastAsia="zh-CN" w:bidi="ar-SA"/>
        </w:rPr>
      </w:pPr>
    </w:p>
    <w:p w14:paraId="44CA5ED2">
      <w:pPr>
        <w:widowControl w:val="0"/>
        <w:autoSpaceDE w:val="0"/>
        <w:autoSpaceDN w:val="0"/>
        <w:adjustRightInd w:val="0"/>
        <w:rPr>
          <w:rFonts w:hint="eastAsia" w:ascii="华文仿宋" w:hAnsi="华文仿宋" w:eastAsia="华文仿宋" w:cs="华文仿宋"/>
          <w:b w:val="0"/>
          <w:bCs/>
          <w:color w:val="000000"/>
          <w:sz w:val="32"/>
          <w:szCs w:val="32"/>
          <w:lang w:val="en-US" w:eastAsia="zh-CN" w:bidi="ar-SA"/>
        </w:rPr>
      </w:pPr>
    </w:p>
    <w:p w14:paraId="75F3A52B">
      <w:pPr>
        <w:widowControl w:val="0"/>
        <w:autoSpaceDE w:val="0"/>
        <w:autoSpaceDN w:val="0"/>
        <w:adjustRightInd w:val="0"/>
        <w:rPr>
          <w:rFonts w:hint="eastAsia" w:ascii="华文仿宋" w:hAnsi="华文仿宋" w:eastAsia="华文仿宋" w:cs="华文仿宋"/>
          <w:b w:val="0"/>
          <w:bCs/>
          <w:color w:val="000000"/>
          <w:sz w:val="32"/>
          <w:szCs w:val="32"/>
          <w:lang w:val="en-US" w:eastAsia="zh-CN" w:bidi="ar-SA"/>
        </w:rPr>
      </w:pPr>
    </w:p>
    <w:p w14:paraId="1956F26D">
      <w:pPr>
        <w:widowControl w:val="0"/>
        <w:autoSpaceDE w:val="0"/>
        <w:autoSpaceDN w:val="0"/>
        <w:adjustRightInd w:val="0"/>
        <w:rPr>
          <w:rFonts w:hint="eastAsia" w:ascii="华文仿宋" w:hAnsi="华文仿宋" w:eastAsia="华文仿宋" w:cs="华文仿宋"/>
          <w:b w:val="0"/>
          <w:bCs/>
          <w:color w:val="000000"/>
          <w:sz w:val="32"/>
          <w:szCs w:val="32"/>
          <w:lang w:val="en-US" w:eastAsia="zh-CN" w:bidi="ar-SA"/>
        </w:rPr>
      </w:pPr>
    </w:p>
    <w:p w14:paraId="3D9DFD9B">
      <w:pPr>
        <w:widowControl w:val="0"/>
        <w:autoSpaceDE w:val="0"/>
        <w:autoSpaceDN w:val="0"/>
        <w:adjustRightInd w:val="0"/>
        <w:rPr>
          <w:rFonts w:hint="eastAsia" w:ascii="华文仿宋" w:hAnsi="华文仿宋" w:eastAsia="华文仿宋" w:cs="华文仿宋"/>
          <w:b w:val="0"/>
          <w:bCs/>
          <w:color w:val="000000"/>
          <w:sz w:val="32"/>
          <w:szCs w:val="32"/>
          <w:lang w:val="en-US" w:eastAsia="zh-CN" w:bidi="ar-SA"/>
        </w:rPr>
      </w:pPr>
    </w:p>
    <w:p w14:paraId="23CF742A">
      <w:pPr>
        <w:widowControl w:val="0"/>
        <w:autoSpaceDE w:val="0"/>
        <w:autoSpaceDN w:val="0"/>
        <w:adjustRightInd w:val="0"/>
        <w:rPr>
          <w:rFonts w:hint="eastAsia" w:ascii="华文仿宋" w:hAnsi="华文仿宋" w:eastAsia="华文仿宋" w:cs="华文仿宋"/>
          <w:b w:val="0"/>
          <w:bCs/>
          <w:color w:val="000000"/>
          <w:sz w:val="32"/>
          <w:szCs w:val="32"/>
          <w:lang w:val="en-US" w:eastAsia="zh-CN" w:bidi="ar-SA"/>
        </w:rPr>
      </w:pPr>
    </w:p>
    <w:p w14:paraId="1FE8A57E">
      <w:pPr>
        <w:widowControl/>
        <w:spacing w:line="560" w:lineRule="exact"/>
        <w:jc w:val="both"/>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 w:eastAsia="zh-CN"/>
        </w:rPr>
        <w:t>附件</w:t>
      </w:r>
      <w:r>
        <w:rPr>
          <w:rFonts w:hint="eastAsia" w:ascii="黑体" w:hAnsi="黑体" w:eastAsia="黑体" w:cs="黑体"/>
          <w:b w:val="0"/>
          <w:bCs/>
          <w:color w:val="auto"/>
          <w:sz w:val="32"/>
          <w:szCs w:val="32"/>
          <w:lang w:val="en-US" w:eastAsia="zh-CN"/>
        </w:rPr>
        <w:t>1.2</w:t>
      </w:r>
    </w:p>
    <w:p w14:paraId="6758D966">
      <w:pPr>
        <w:widowControl/>
        <w:spacing w:line="560" w:lineRule="exact"/>
        <w:jc w:val="center"/>
        <w:rPr>
          <w:rFonts w:hint="eastAsia" w:ascii="方正小标宋_GBK" w:hAnsi="方正小标宋_GBK" w:eastAsia="方正小标宋_GBK" w:cs="方正小标宋_GBK"/>
          <w:b w:val="0"/>
          <w:bCs/>
          <w:color w:val="auto"/>
          <w:sz w:val="36"/>
          <w:szCs w:val="36"/>
          <w:lang w:eastAsia="zh-CN"/>
        </w:rPr>
      </w:pPr>
      <w:r>
        <w:rPr>
          <w:rFonts w:hint="eastAsia" w:ascii="方正小标宋_GBK" w:hAnsi="方正小标宋_GBK" w:eastAsia="方正小标宋_GBK" w:cs="方正小标宋_GBK"/>
          <w:b w:val="0"/>
          <w:bCs/>
          <w:color w:val="auto"/>
          <w:sz w:val="36"/>
          <w:szCs w:val="36"/>
          <w:lang w:eastAsia="zh-CN"/>
        </w:rPr>
        <w:t>福建省</w:t>
      </w:r>
      <w:r>
        <w:rPr>
          <w:rFonts w:hint="eastAsia" w:ascii="方正小标宋_GBK" w:hAnsi="方正小标宋_GBK" w:eastAsia="方正小标宋_GBK" w:cs="方正小标宋_GBK"/>
          <w:b w:val="0"/>
          <w:bCs/>
          <w:color w:val="auto"/>
          <w:sz w:val="36"/>
          <w:szCs w:val="36"/>
        </w:rPr>
        <w:t>人力资源服务</w:t>
      </w:r>
      <w:r>
        <w:rPr>
          <w:rFonts w:hint="eastAsia" w:ascii="方正小标宋_GBK" w:hAnsi="方正小标宋_GBK" w:eastAsia="方正小标宋_GBK" w:cs="方正小标宋_GBK"/>
          <w:b w:val="0"/>
          <w:bCs/>
          <w:color w:val="auto"/>
          <w:sz w:val="36"/>
          <w:szCs w:val="36"/>
          <w:lang w:eastAsia="zh-CN"/>
        </w:rPr>
        <w:t>机构从事</w:t>
      </w:r>
      <w:r>
        <w:rPr>
          <w:rFonts w:hint="eastAsia" w:ascii="方正小标宋_GBK" w:hAnsi="方正小标宋_GBK" w:eastAsia="方正小标宋_GBK" w:cs="方正小标宋_GBK"/>
          <w:b w:val="0"/>
          <w:bCs/>
          <w:color w:val="auto"/>
          <w:sz w:val="36"/>
          <w:szCs w:val="36"/>
        </w:rPr>
        <w:t>职业中介</w:t>
      </w:r>
      <w:r>
        <w:rPr>
          <w:rFonts w:hint="eastAsia" w:ascii="方正小标宋_GBK" w:hAnsi="方正小标宋_GBK" w:eastAsia="方正小标宋_GBK" w:cs="方正小标宋_GBK"/>
          <w:b w:val="0"/>
          <w:bCs/>
          <w:color w:val="auto"/>
          <w:sz w:val="36"/>
          <w:szCs w:val="36"/>
          <w:lang w:eastAsia="zh-CN"/>
        </w:rPr>
        <w:t>活动</w:t>
      </w:r>
    </w:p>
    <w:p w14:paraId="67849539">
      <w:pPr>
        <w:widowControl/>
        <w:spacing w:line="560" w:lineRule="exact"/>
        <w:jc w:val="center"/>
        <w:rPr>
          <w:rFonts w:hint="eastAsia" w:ascii="方正小标宋_GBK" w:hAnsi="方正小标宋_GBK" w:eastAsia="方正小标宋_GBK" w:cs="方正小标宋_GBK"/>
          <w:b w:val="0"/>
          <w:bCs/>
          <w:color w:val="auto"/>
          <w:sz w:val="36"/>
          <w:szCs w:val="36"/>
          <w:lang w:eastAsia="zh-CN"/>
        </w:rPr>
      </w:pPr>
      <w:r>
        <w:rPr>
          <w:rFonts w:hint="eastAsia" w:ascii="方正小标宋_GBK" w:hAnsi="方正小标宋_GBK" w:eastAsia="方正小标宋_GBK" w:cs="方正小标宋_GBK"/>
          <w:b w:val="0"/>
          <w:bCs/>
          <w:color w:val="auto"/>
          <w:sz w:val="36"/>
          <w:szCs w:val="36"/>
          <w:lang w:eastAsia="zh-CN"/>
        </w:rPr>
        <w:t>行政</w:t>
      </w:r>
      <w:r>
        <w:rPr>
          <w:rFonts w:hint="eastAsia" w:ascii="方正小标宋_GBK" w:hAnsi="方正小标宋_GBK" w:eastAsia="方正小标宋_GBK" w:cs="方正小标宋_GBK"/>
          <w:b w:val="0"/>
          <w:bCs/>
          <w:color w:val="auto"/>
          <w:sz w:val="36"/>
          <w:szCs w:val="36"/>
        </w:rPr>
        <w:t>许可规程表</w:t>
      </w:r>
      <w:r>
        <w:rPr>
          <w:rFonts w:hint="eastAsia" w:ascii="方正小标宋_GBK" w:hAnsi="方正小标宋_GBK" w:eastAsia="方正小标宋_GBK" w:cs="方正小标宋_GBK"/>
          <w:b w:val="0"/>
          <w:bCs/>
          <w:color w:val="auto"/>
          <w:sz w:val="36"/>
          <w:szCs w:val="36"/>
          <w:lang w:eastAsia="zh-CN"/>
        </w:rPr>
        <w:t>（二）</w:t>
      </w:r>
    </w:p>
    <w:p w14:paraId="3560CCF0">
      <w:pPr>
        <w:widowControl/>
        <w:spacing w:line="340" w:lineRule="exact"/>
        <w:ind w:firstLine="1789" w:firstLineChars="495"/>
        <w:rPr>
          <w:rFonts w:ascii="宋体" w:hAnsi="宋体" w:eastAsia="宋体" w:cs="Arial"/>
          <w:b/>
          <w:sz w:val="36"/>
          <w:szCs w:val="36"/>
        </w:rPr>
      </w:pPr>
    </w:p>
    <w:tbl>
      <w:tblPr>
        <w:tblStyle w:val="2"/>
        <w:tblW w:w="92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7"/>
        <w:gridCol w:w="1260"/>
        <w:gridCol w:w="7206"/>
      </w:tblGrid>
      <w:tr w14:paraId="4BEE3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1" w:hRule="atLeast"/>
          <w:jc w:val="center"/>
        </w:trPr>
        <w:tc>
          <w:tcPr>
            <w:tcW w:w="827" w:type="dxa"/>
            <w:noWrap w:val="0"/>
            <w:vAlign w:val="center"/>
          </w:tcPr>
          <w:p w14:paraId="31F6F3FB">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序号</w:t>
            </w:r>
          </w:p>
        </w:tc>
        <w:tc>
          <w:tcPr>
            <w:tcW w:w="1260" w:type="dxa"/>
            <w:noWrap w:val="0"/>
            <w:vAlign w:val="center"/>
          </w:tcPr>
          <w:p w14:paraId="2683254C">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项目</w:t>
            </w:r>
          </w:p>
        </w:tc>
        <w:tc>
          <w:tcPr>
            <w:tcW w:w="7206" w:type="dxa"/>
            <w:noWrap w:val="0"/>
            <w:vAlign w:val="center"/>
          </w:tcPr>
          <w:p w14:paraId="6692273D">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内容</w:t>
            </w:r>
          </w:p>
        </w:tc>
      </w:tr>
      <w:tr w14:paraId="49DD6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6" w:hRule="atLeast"/>
          <w:jc w:val="center"/>
        </w:trPr>
        <w:tc>
          <w:tcPr>
            <w:tcW w:w="827" w:type="dxa"/>
            <w:noWrap w:val="0"/>
            <w:vAlign w:val="center"/>
          </w:tcPr>
          <w:p w14:paraId="717B001D">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1</w:t>
            </w:r>
          </w:p>
        </w:tc>
        <w:tc>
          <w:tcPr>
            <w:tcW w:w="1260" w:type="dxa"/>
            <w:noWrap w:val="0"/>
            <w:vAlign w:val="center"/>
          </w:tcPr>
          <w:p w14:paraId="459B999D">
            <w:pPr>
              <w:widowControl/>
              <w:spacing w:line="240" w:lineRule="atLeast"/>
              <w:jc w:val="both"/>
              <w:rPr>
                <w:rFonts w:ascii="华文楷体" w:hAnsi="华文楷体" w:eastAsia="华文楷体" w:cs="宋体"/>
                <w:kern w:val="0"/>
                <w:sz w:val="24"/>
              </w:rPr>
            </w:pPr>
            <w:r>
              <w:rPr>
                <w:rFonts w:hint="eastAsia" w:ascii="华文楷体" w:hAnsi="华文楷体" w:eastAsia="华文楷体" w:cs="宋体"/>
                <w:kern w:val="0"/>
                <w:sz w:val="24"/>
              </w:rPr>
              <w:t>项目名称</w:t>
            </w:r>
          </w:p>
        </w:tc>
        <w:tc>
          <w:tcPr>
            <w:tcW w:w="7206" w:type="dxa"/>
            <w:noWrap w:val="0"/>
            <w:vAlign w:val="center"/>
          </w:tcPr>
          <w:p w14:paraId="1C23F915">
            <w:pPr>
              <w:widowControl/>
              <w:spacing w:line="240" w:lineRule="atLeast"/>
              <w:jc w:val="both"/>
              <w:rPr>
                <w:rFonts w:hint="eastAsia" w:ascii="仿宋_GB2312" w:hAnsi="Times New Roman" w:eastAsia="仿宋_GB2312" w:cs="宋体"/>
                <w:kern w:val="0"/>
                <w:sz w:val="24"/>
                <w:lang w:eastAsia="zh-CN"/>
              </w:rPr>
            </w:pPr>
            <w:r>
              <w:rPr>
                <w:rFonts w:hint="eastAsia" w:ascii="仿宋_GB2312" w:hAnsi="Times New Roman" w:cs="宋体"/>
                <w:kern w:val="0"/>
                <w:sz w:val="24"/>
                <w:lang w:eastAsia="zh-CN"/>
              </w:rPr>
              <w:t>人力资源服务许可（变更）</w:t>
            </w:r>
          </w:p>
        </w:tc>
      </w:tr>
      <w:tr w14:paraId="487B8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27" w:type="dxa"/>
            <w:noWrap w:val="0"/>
            <w:vAlign w:val="center"/>
          </w:tcPr>
          <w:p w14:paraId="77896F9A">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2</w:t>
            </w:r>
          </w:p>
        </w:tc>
        <w:tc>
          <w:tcPr>
            <w:tcW w:w="1260" w:type="dxa"/>
            <w:noWrap w:val="0"/>
            <w:vAlign w:val="center"/>
          </w:tcPr>
          <w:p w14:paraId="1505DB6D">
            <w:pPr>
              <w:widowControl/>
              <w:spacing w:line="240" w:lineRule="atLeast"/>
              <w:jc w:val="both"/>
              <w:rPr>
                <w:rFonts w:ascii="华文楷体" w:hAnsi="华文楷体" w:eastAsia="华文楷体" w:cs="宋体"/>
                <w:kern w:val="0"/>
                <w:sz w:val="24"/>
              </w:rPr>
            </w:pPr>
            <w:r>
              <w:rPr>
                <w:rFonts w:hint="eastAsia" w:ascii="华文楷体" w:hAnsi="华文楷体" w:eastAsia="华文楷体" w:cs="宋体"/>
                <w:kern w:val="0"/>
                <w:sz w:val="24"/>
              </w:rPr>
              <w:t>设定依据</w:t>
            </w:r>
          </w:p>
        </w:tc>
        <w:tc>
          <w:tcPr>
            <w:tcW w:w="7206" w:type="dxa"/>
            <w:noWrap w:val="0"/>
            <w:vAlign w:val="center"/>
          </w:tcPr>
          <w:p w14:paraId="0BDEEFAA">
            <w:pPr>
              <w:keepNext w:val="0"/>
              <w:keepLines w:val="0"/>
              <w:pageBreakBefore w:val="0"/>
              <w:widowControl/>
              <w:numPr>
                <w:ilvl w:val="0"/>
                <w:numId w:val="1"/>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cs="Times New Roman"/>
                <w:sz w:val="24"/>
                <w:lang w:val="en-US" w:eastAsia="zh-CN" w:bidi="ar"/>
              </w:rPr>
            </w:pPr>
            <w:r>
              <w:rPr>
                <w:rFonts w:hint="eastAsia" w:ascii="仿宋_GB2312" w:cs="Times New Roman"/>
                <w:sz w:val="24"/>
                <w:lang w:val="en-US" w:eastAsia="zh-CN" w:bidi="ar"/>
              </w:rPr>
              <w:t>《行政许可法》第四十九条：被许可人要求变更行政许可事项的，应当向作出行政许可决定的行政机关提出申请；符合法定条件、标准的，行政机关应当依法办理变更手续。</w:t>
            </w:r>
          </w:p>
          <w:p w14:paraId="3B419902">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Times New Roman" w:cs="Times New Roman"/>
                <w:sz w:val="24"/>
                <w:lang w:bidi="ar"/>
              </w:rPr>
            </w:pPr>
            <w:r>
              <w:rPr>
                <w:rFonts w:hint="eastAsia" w:ascii="仿宋_GB2312" w:hAnsi="Times New Roman" w:cs="Times New Roman"/>
                <w:sz w:val="24"/>
                <w:lang w:bidi="ar"/>
              </w:rPr>
              <w:t>（二）《人力资源市场暂行条例》</w:t>
            </w:r>
            <w:r>
              <w:rPr>
                <w:rFonts w:hint="eastAsia" w:ascii="仿宋_GB2312" w:hAnsi="Times New Roman" w:cs="Times New Roman"/>
                <w:sz w:val="24"/>
                <w:lang w:eastAsia="zh-CN" w:bidi="ar"/>
              </w:rPr>
              <w:t>（国务院令第</w:t>
            </w:r>
            <w:r>
              <w:rPr>
                <w:rFonts w:hint="eastAsia" w:ascii="仿宋_GB2312" w:hAnsi="Times New Roman" w:cs="Times New Roman"/>
                <w:sz w:val="24"/>
                <w:lang w:val="en-US" w:eastAsia="zh-CN" w:bidi="ar"/>
              </w:rPr>
              <w:t>700号</w:t>
            </w:r>
            <w:r>
              <w:rPr>
                <w:rFonts w:hint="eastAsia" w:ascii="仿宋_GB2312" w:hAnsi="Times New Roman" w:cs="Times New Roman"/>
                <w:sz w:val="24"/>
                <w:lang w:eastAsia="zh-CN" w:bidi="ar"/>
              </w:rPr>
              <w:t>）</w:t>
            </w:r>
            <w:r>
              <w:rPr>
                <w:rFonts w:hint="eastAsia" w:ascii="仿宋_GB2312" w:hAnsi="Times New Roman" w:cs="Times New Roman"/>
                <w:sz w:val="24"/>
                <w:lang w:bidi="ar"/>
              </w:rPr>
              <w:t>第十八条：经营性人力资源服务机构从事职业中介活动的，应当依法向人力资源社会保障行政部门申请行政许可，取得人力资源服务许可证。</w:t>
            </w:r>
          </w:p>
          <w:p w14:paraId="1E818ACC">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Times New Roman" w:cs="Times New Roman"/>
                <w:sz w:val="24"/>
                <w:lang w:bidi="ar"/>
              </w:rPr>
            </w:pPr>
            <w:r>
              <w:rPr>
                <w:rFonts w:hint="eastAsia" w:ascii="仿宋_GB2312" w:hAnsi="Times New Roman" w:cs="Times New Roman"/>
                <w:sz w:val="24"/>
                <w:lang w:bidi="ar"/>
              </w:rPr>
              <w:t>（三）《人力资</w:t>
            </w:r>
            <w:r>
              <w:rPr>
                <w:rFonts w:hint="eastAsia" w:ascii="仿宋_GB2312" w:hAnsi="Times New Roman" w:cs="Times New Roman"/>
                <w:sz w:val="24"/>
                <w:lang w:eastAsia="zh-CN" w:bidi="ar"/>
              </w:rPr>
              <w:t>源</w:t>
            </w:r>
            <w:r>
              <w:rPr>
                <w:rFonts w:hint="eastAsia" w:ascii="仿宋_GB2312" w:hAnsi="Times New Roman" w:cs="Times New Roman"/>
                <w:sz w:val="24"/>
                <w:lang w:bidi="ar"/>
              </w:rPr>
              <w:t>服务机构管理规定》</w:t>
            </w:r>
            <w:r>
              <w:rPr>
                <w:rFonts w:hint="eastAsia" w:ascii="仿宋_GB2312" w:hAnsi="Times New Roman" w:cs="Times New Roman"/>
                <w:sz w:val="24"/>
                <w:lang w:eastAsia="zh-CN" w:bidi="ar"/>
              </w:rPr>
              <w:t>（人力资源社会保障部令第</w:t>
            </w:r>
            <w:r>
              <w:rPr>
                <w:rFonts w:hint="eastAsia" w:ascii="仿宋_GB2312" w:hAnsi="Times New Roman" w:cs="Times New Roman"/>
                <w:sz w:val="24"/>
                <w:lang w:val="en-US" w:eastAsia="zh-CN" w:bidi="ar"/>
              </w:rPr>
              <w:t>50号</w:t>
            </w:r>
            <w:r>
              <w:rPr>
                <w:rFonts w:hint="eastAsia" w:ascii="仿宋_GB2312" w:hAnsi="Times New Roman" w:cs="Times New Roman"/>
                <w:sz w:val="24"/>
                <w:lang w:eastAsia="zh-CN" w:bidi="ar"/>
              </w:rPr>
              <w:t>）</w:t>
            </w:r>
            <w:r>
              <w:rPr>
                <w:rFonts w:hint="eastAsia" w:ascii="仿宋_GB2312" w:hAnsi="Times New Roman" w:cs="Times New Roman"/>
                <w:sz w:val="24"/>
                <w:lang w:bidi="ar"/>
              </w:rPr>
              <w:t>第五条：经营性人力资源服务机构从事职业中介活动的，应当在市场主体登记办理完毕后，依法向住所地人力资源社会保障行政部门申请行政许可，取得人力资源服务许可证。从事网络招聘服务的，还应当依法取得电信业务经营许可证。本规定所称职业中介活动是指为用人单位招用人员和劳动者求职提供中介服务，包括为用人单位推荐劳动者、为劳动者介绍用人单位、组织开展招聘会、开展网络招聘服务、开展高级人才寻访（猎头）服务等经营性活动。</w:t>
            </w:r>
          </w:p>
          <w:p w14:paraId="406C9484">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Times New Roman" w:cs="Times New Roman"/>
                <w:sz w:val="24"/>
                <w:lang w:bidi="ar"/>
              </w:rPr>
            </w:pPr>
            <w:r>
              <w:rPr>
                <w:rFonts w:hint="eastAsia" w:ascii="仿宋_GB2312" w:hAnsi="Times New Roman" w:cs="Times New Roman"/>
                <w:sz w:val="24"/>
                <w:lang w:eastAsia="zh-CN" w:bidi="ar"/>
              </w:rPr>
              <w:t>（</w:t>
            </w:r>
            <w:r>
              <w:rPr>
                <w:rFonts w:hint="eastAsia" w:ascii="仿宋_GB2312" w:cs="Times New Roman"/>
                <w:sz w:val="24"/>
                <w:lang w:eastAsia="zh-CN" w:bidi="ar"/>
              </w:rPr>
              <w:t>四</w:t>
            </w:r>
            <w:r>
              <w:rPr>
                <w:rFonts w:hint="eastAsia" w:ascii="仿宋_GB2312" w:hAnsi="Times New Roman" w:cs="Times New Roman"/>
                <w:sz w:val="24"/>
                <w:lang w:eastAsia="zh-CN" w:bidi="ar"/>
              </w:rPr>
              <w:t>）</w:t>
            </w:r>
            <w:r>
              <w:rPr>
                <w:rFonts w:hint="eastAsia" w:ascii="仿宋_GB2312" w:hAnsi="Times New Roman" w:cs="Times New Roman"/>
                <w:sz w:val="24"/>
                <w:lang w:bidi="ar"/>
              </w:rPr>
              <w:t>《网络招聘服务管理规定》（人力资源社会保障部令第44号）第九条：经营性人力资源服务机构从事网络招聘服务，应当依法取得人力资源服务许可证。涉及经营电信业务的，还应当依法取得电信业务经营许可证。</w:t>
            </w:r>
          </w:p>
          <w:p w14:paraId="3AADA60B">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Times New Roman" w:cs="Times New Roman"/>
                <w:sz w:val="24"/>
                <w:lang w:val="en-US" w:eastAsia="zh-CN" w:bidi="ar"/>
              </w:rPr>
            </w:pPr>
            <w:r>
              <w:rPr>
                <w:rFonts w:hint="eastAsia" w:ascii="仿宋_GB2312" w:hAnsi="Times New Roman" w:cs="Times New Roman"/>
                <w:sz w:val="24"/>
                <w:lang w:val="en-US" w:eastAsia="zh-CN" w:bidi="ar"/>
              </w:rPr>
              <w:t>（</w:t>
            </w:r>
            <w:r>
              <w:rPr>
                <w:rFonts w:hint="eastAsia" w:ascii="仿宋_GB2312" w:cs="Times New Roman"/>
                <w:sz w:val="24"/>
                <w:lang w:val="en-US" w:eastAsia="zh-CN" w:bidi="ar"/>
              </w:rPr>
              <w:t>五</w:t>
            </w:r>
            <w:r>
              <w:rPr>
                <w:rFonts w:hint="eastAsia" w:ascii="仿宋_GB2312" w:hAnsi="Times New Roman" w:cs="Times New Roman"/>
                <w:sz w:val="24"/>
                <w:lang w:val="en-US" w:eastAsia="zh-CN" w:bidi="ar"/>
              </w:rPr>
              <w:t>）《就业服务与就业管理规定》（劳动保障部令第28号）第五十条第三款：职业中介机构的具体设立条件、审批和年度审验程序，由省级劳动保障行政部门统一规定。</w:t>
            </w:r>
          </w:p>
          <w:p w14:paraId="68F09658">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lang w:val="en-US" w:eastAsia="zh-CN"/>
              </w:rPr>
            </w:pPr>
            <w:r>
              <w:rPr>
                <w:rFonts w:hint="eastAsia" w:ascii="仿宋_GB2312" w:hAnsi="Times New Roman" w:cs="Times New Roman"/>
                <w:sz w:val="24"/>
                <w:lang w:val="en-US" w:eastAsia="zh-CN" w:bidi="ar"/>
              </w:rPr>
              <w:t>（六）《福建省人力资源市场条例》第二十六条：</w:t>
            </w:r>
            <w:r>
              <w:rPr>
                <w:rFonts w:hint="eastAsia" w:ascii="仿宋_GB2312" w:hAnsi="Times New Roman" w:cs="Times New Roman"/>
                <w:sz w:val="24"/>
                <w:lang w:eastAsia="zh-CN" w:bidi="ar"/>
              </w:rPr>
              <w:t>经营性人力资源服务机构从事下列职业中介活动的，应当</w:t>
            </w:r>
            <w:r>
              <w:rPr>
                <w:rFonts w:hint="eastAsia" w:ascii="仿宋_GB2312" w:hAnsi="Times New Roman" w:cs="Times New Roman"/>
                <w:sz w:val="24"/>
                <w:lang w:val="en-US" w:eastAsia="zh-CN" w:bidi="ar"/>
              </w:rPr>
              <w:t>依法</w:t>
            </w:r>
            <w:r>
              <w:rPr>
                <w:rFonts w:hint="eastAsia" w:ascii="仿宋_GB2312" w:hAnsi="Times New Roman" w:cs="Times New Roman"/>
                <w:sz w:val="24"/>
                <w:lang w:eastAsia="zh-CN" w:bidi="ar"/>
              </w:rPr>
              <w:t>取得人力资源服务许可证，在许可范围内开展活动：（一）为用人单位推荐劳动者；（二）为劳动者介绍用人单位；（三）组织开展招聘会；（四）开展网络招聘服务；（五）开展高级人才寻访服务；（六）法律、行政法规和国家规定的其他职业中介活动。经营性人力资源服务机构从事职业中介活动的，</w:t>
            </w:r>
            <w:r>
              <w:rPr>
                <w:rFonts w:hint="eastAsia" w:ascii="仿宋_GB2312" w:hAnsi="Times New Roman" w:cs="Times New Roman"/>
                <w:sz w:val="24"/>
                <w:lang w:val="en-US" w:eastAsia="zh-CN" w:bidi="ar"/>
              </w:rPr>
              <w:t>还应当</w:t>
            </w:r>
            <w:r>
              <w:rPr>
                <w:rFonts w:hint="eastAsia" w:ascii="仿宋_GB2312" w:hAnsi="Times New Roman" w:cs="Times New Roman"/>
                <w:sz w:val="24"/>
                <w:lang w:eastAsia="zh-CN" w:bidi="ar"/>
              </w:rPr>
              <w:t>按照国家和省人民政府人力资源社会保障行政部门有关规定执行并诚信经营。</w:t>
            </w:r>
            <w:r>
              <w:rPr>
                <w:rFonts w:hint="eastAsia" w:ascii="仿宋_GB2312" w:hAnsi="Times New Roman" w:cs="Times New Roman"/>
                <w:sz w:val="24"/>
                <w:lang w:val="en-US" w:eastAsia="zh-CN" w:bidi="ar"/>
              </w:rPr>
              <w:t xml:space="preserve"> </w:t>
            </w:r>
          </w:p>
        </w:tc>
      </w:tr>
      <w:tr w14:paraId="7D635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27" w:type="dxa"/>
            <w:noWrap w:val="0"/>
            <w:vAlign w:val="center"/>
          </w:tcPr>
          <w:p w14:paraId="4E57896B">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3</w:t>
            </w:r>
          </w:p>
        </w:tc>
        <w:tc>
          <w:tcPr>
            <w:tcW w:w="1260" w:type="dxa"/>
            <w:noWrap w:val="0"/>
            <w:vAlign w:val="center"/>
          </w:tcPr>
          <w:p w14:paraId="43AF2774">
            <w:pPr>
              <w:widowControl/>
              <w:spacing w:line="240" w:lineRule="atLeast"/>
              <w:jc w:val="both"/>
              <w:rPr>
                <w:rFonts w:ascii="华文楷体" w:hAnsi="华文楷体" w:eastAsia="华文楷体" w:cs="宋体"/>
                <w:kern w:val="0"/>
                <w:sz w:val="24"/>
              </w:rPr>
            </w:pPr>
            <w:r>
              <w:rPr>
                <w:rFonts w:hint="eastAsia" w:ascii="华文楷体" w:hAnsi="华文楷体" w:eastAsia="华文楷体" w:cs="宋体"/>
                <w:kern w:val="0"/>
                <w:sz w:val="24"/>
              </w:rPr>
              <w:t>申报对象</w:t>
            </w:r>
          </w:p>
        </w:tc>
        <w:tc>
          <w:tcPr>
            <w:tcW w:w="7206" w:type="dxa"/>
            <w:noWrap w:val="0"/>
            <w:vAlign w:val="center"/>
          </w:tcPr>
          <w:p w14:paraId="707172A4">
            <w:pPr>
              <w:widowControl/>
              <w:spacing w:line="240" w:lineRule="atLeast"/>
              <w:jc w:val="both"/>
              <w:rPr>
                <w:rFonts w:ascii="仿宋_GB2312" w:hAnsi="Times New Roman" w:cs="Arial"/>
                <w:sz w:val="24"/>
              </w:rPr>
            </w:pPr>
            <w:r>
              <w:rPr>
                <w:rFonts w:hint="eastAsia" w:ascii="仿宋_GB2312" w:hAnsi="Times New Roman" w:cs="Arial"/>
                <w:sz w:val="24"/>
              </w:rPr>
              <w:t>经营性人力资源服务机构</w:t>
            </w:r>
          </w:p>
        </w:tc>
      </w:tr>
      <w:tr w14:paraId="29444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67" w:hRule="atLeast"/>
          <w:jc w:val="center"/>
        </w:trPr>
        <w:tc>
          <w:tcPr>
            <w:tcW w:w="827" w:type="dxa"/>
            <w:noWrap w:val="0"/>
            <w:vAlign w:val="center"/>
          </w:tcPr>
          <w:p w14:paraId="063C0CA6">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4</w:t>
            </w:r>
          </w:p>
        </w:tc>
        <w:tc>
          <w:tcPr>
            <w:tcW w:w="1260" w:type="dxa"/>
            <w:noWrap w:val="0"/>
            <w:vAlign w:val="center"/>
          </w:tcPr>
          <w:p w14:paraId="11A1C14D">
            <w:pPr>
              <w:widowControl/>
              <w:spacing w:line="300" w:lineRule="exact"/>
              <w:jc w:val="both"/>
              <w:rPr>
                <w:rFonts w:ascii="华文楷体" w:hAnsi="华文楷体" w:eastAsia="华文楷体" w:cs="Arial"/>
                <w:sz w:val="24"/>
              </w:rPr>
            </w:pPr>
            <w:r>
              <w:rPr>
                <w:rFonts w:hint="eastAsia" w:ascii="华文楷体" w:hAnsi="华文楷体" w:eastAsia="华文楷体" w:cs="Arial"/>
                <w:sz w:val="24"/>
              </w:rPr>
              <w:t>申报材料</w:t>
            </w:r>
          </w:p>
        </w:tc>
        <w:tc>
          <w:tcPr>
            <w:tcW w:w="7206" w:type="dxa"/>
            <w:tcBorders>
              <w:top w:val="single" w:color="auto" w:sz="4" w:space="0"/>
            </w:tcBorders>
            <w:noWrap w:val="0"/>
            <w:vAlign w:val="center"/>
          </w:tcPr>
          <w:p w14:paraId="2244A93F">
            <w:pPr>
              <w:widowControl/>
              <w:numPr>
                <w:ilvl w:val="0"/>
                <w:numId w:val="0"/>
              </w:numPr>
              <w:adjustRightInd/>
              <w:snapToGrid/>
              <w:spacing w:before="0" w:beforeLines="0" w:after="0" w:afterLines="0" w:line="400" w:lineRule="exact"/>
              <w:ind w:firstLine="480" w:firstLineChars="200"/>
              <w:jc w:val="left"/>
              <w:rPr>
                <w:rFonts w:hint="eastAsia" w:ascii="仿宋_GB2312" w:hAnsi="Times New Roman" w:eastAsia="仿宋_GB2312" w:cs="Times New Roman"/>
                <w:color w:val="000000"/>
                <w:sz w:val="24"/>
                <w:szCs w:val="24"/>
                <w:lang w:eastAsia="zh-CN" w:bidi="ar"/>
              </w:rPr>
            </w:pPr>
            <w:r>
              <w:rPr>
                <w:rFonts w:hint="eastAsia" w:ascii="仿宋_GB2312" w:hAnsi="Times New Roman" w:cs="Times New Roman"/>
                <w:sz w:val="24"/>
                <w:lang w:val="en-US" w:eastAsia="zh-CN" w:bidi="ar"/>
              </w:rPr>
              <w:t>1、</w:t>
            </w:r>
            <w:r>
              <w:rPr>
                <w:rFonts w:hint="eastAsia" w:ascii="仿宋_GB2312" w:cs="Times New Roman"/>
                <w:sz w:val="24"/>
                <w:lang w:val="en-US" w:eastAsia="zh-CN" w:bidi="ar"/>
              </w:rPr>
              <w:t>《</w:t>
            </w:r>
            <w:r>
              <w:rPr>
                <w:rFonts w:hint="eastAsia" w:ascii="仿宋_GB2312" w:hAnsi="Times New Roman" w:eastAsia="仿宋_GB2312" w:cs="Times New Roman"/>
                <w:color w:val="000000"/>
                <w:sz w:val="24"/>
                <w:szCs w:val="24"/>
                <w:lang w:eastAsia="zh-CN" w:bidi="ar"/>
              </w:rPr>
              <w:t>福建省</w:t>
            </w:r>
            <w:r>
              <w:rPr>
                <w:rFonts w:hint="eastAsia" w:ascii="仿宋_GB2312" w:hAnsi="Times New Roman" w:eastAsia="仿宋_GB2312" w:cs="Times New Roman"/>
                <w:color w:val="000000"/>
                <w:sz w:val="24"/>
                <w:szCs w:val="24"/>
                <w:lang w:bidi="ar"/>
              </w:rPr>
              <w:t>人力资源服务机构</w:t>
            </w:r>
            <w:r>
              <w:rPr>
                <w:rFonts w:hint="eastAsia" w:ascii="仿宋_GB2312" w:hAnsi="Times New Roman" w:eastAsia="仿宋_GB2312" w:cs="Times New Roman"/>
                <w:color w:val="000000"/>
                <w:sz w:val="24"/>
                <w:szCs w:val="24"/>
                <w:lang w:eastAsia="zh-CN" w:bidi="ar"/>
              </w:rPr>
              <w:t>从事职业中介活动行政许可</w:t>
            </w:r>
            <w:r>
              <w:rPr>
                <w:rFonts w:hint="eastAsia" w:ascii="仿宋_GB2312" w:hAnsi="Times New Roman" w:eastAsia="仿宋_GB2312" w:cs="Times New Roman"/>
                <w:color w:val="000000"/>
                <w:sz w:val="24"/>
                <w:szCs w:val="24"/>
                <w:lang w:bidi="ar"/>
              </w:rPr>
              <w:t>变更</w:t>
            </w:r>
            <w:r>
              <w:rPr>
                <w:rFonts w:hint="eastAsia" w:ascii="仿宋_GB2312" w:hAnsi="Times New Roman" w:eastAsia="仿宋_GB2312" w:cs="Times New Roman"/>
                <w:color w:val="000000"/>
                <w:sz w:val="24"/>
                <w:szCs w:val="24"/>
                <w:lang w:eastAsia="zh-CN" w:bidi="ar"/>
              </w:rPr>
              <w:t>申请</w:t>
            </w:r>
            <w:r>
              <w:rPr>
                <w:rFonts w:hint="eastAsia" w:ascii="仿宋_GB2312" w:hAnsi="Times New Roman" w:eastAsia="仿宋_GB2312" w:cs="Times New Roman"/>
                <w:color w:val="000000"/>
                <w:sz w:val="24"/>
                <w:szCs w:val="24"/>
                <w:lang w:bidi="ar"/>
              </w:rPr>
              <w:t>表</w:t>
            </w:r>
            <w:r>
              <w:rPr>
                <w:rFonts w:hint="eastAsia" w:ascii="仿宋_GB2312" w:cs="Times New Roman"/>
                <w:sz w:val="24"/>
                <w:lang w:val="en-US" w:eastAsia="zh-CN" w:bidi="ar"/>
              </w:rPr>
              <w:t>》一式三份</w:t>
            </w:r>
            <w:r>
              <w:rPr>
                <w:rFonts w:hint="eastAsia" w:ascii="仿宋_GB2312" w:cs="Times New Roman"/>
                <w:sz w:val="24"/>
                <w:szCs w:val="24"/>
                <w:lang w:eastAsia="zh-CN" w:bidi="ar"/>
              </w:rPr>
              <w:t>；</w:t>
            </w:r>
          </w:p>
          <w:p w14:paraId="7A8A65FB">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Times New Roman" w:cs="Times New Roman"/>
                <w:sz w:val="24"/>
                <w:lang w:val="en-US" w:eastAsia="zh-CN" w:bidi="ar"/>
              </w:rPr>
            </w:pPr>
            <w:r>
              <w:rPr>
                <w:rFonts w:hint="eastAsia" w:ascii="仿宋_GB2312" w:hAnsi="Times New Roman" w:cs="Times New Roman"/>
                <w:sz w:val="24"/>
                <w:lang w:val="en-US" w:eastAsia="zh-CN" w:bidi="ar"/>
              </w:rPr>
              <w:t>2、营业执照</w:t>
            </w:r>
            <w:r>
              <w:rPr>
                <w:rFonts w:hint="eastAsia" w:ascii="仿宋_GB2312" w:cs="Times New Roman"/>
                <w:sz w:val="24"/>
                <w:lang w:val="en-US" w:eastAsia="zh-CN" w:bidi="ar"/>
              </w:rPr>
              <w:t>；</w:t>
            </w:r>
          </w:p>
          <w:p w14:paraId="3A4654BF">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rPr>
                <w:rFonts w:hint="eastAsia" w:ascii="仿宋_GB2312" w:hAnsi="Times New Roman" w:cs="宋体"/>
                <w:bCs w:val="0"/>
                <w:kern w:val="0"/>
                <w:sz w:val="24"/>
                <w:lang w:val="en-US" w:eastAsia="zh-CN"/>
              </w:rPr>
            </w:pPr>
            <w:r>
              <w:rPr>
                <w:rFonts w:hint="eastAsia" w:ascii="仿宋_GB2312" w:cs="宋体"/>
                <w:bCs w:val="0"/>
                <w:kern w:val="0"/>
                <w:sz w:val="24"/>
                <w:lang w:val="en-US" w:eastAsia="zh-CN"/>
              </w:rPr>
              <w:t>3</w:t>
            </w:r>
            <w:r>
              <w:rPr>
                <w:rFonts w:hint="eastAsia" w:ascii="仿宋_GB2312" w:hAnsi="Times New Roman" w:cs="宋体"/>
                <w:bCs w:val="0"/>
                <w:kern w:val="0"/>
                <w:sz w:val="24"/>
                <w:lang w:val="en-US" w:eastAsia="zh-CN"/>
              </w:rPr>
              <w:t>、法定代表人身份证明；</w:t>
            </w:r>
          </w:p>
          <w:p w14:paraId="0EFD2A6C">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Times New Roman" w:cs="宋体"/>
                <w:kern w:val="0"/>
                <w:sz w:val="24"/>
                <w:lang w:val="en-US" w:eastAsia="zh-CN"/>
              </w:rPr>
            </w:pPr>
            <w:r>
              <w:rPr>
                <w:rFonts w:hint="eastAsia" w:ascii="仿宋_GB2312" w:cs="宋体"/>
                <w:kern w:val="0"/>
                <w:sz w:val="24"/>
                <w:lang w:val="en-US" w:eastAsia="zh-CN"/>
              </w:rPr>
              <w:t>4</w:t>
            </w:r>
            <w:r>
              <w:rPr>
                <w:rFonts w:hint="eastAsia" w:ascii="仿宋_GB2312" w:hAnsi="Times New Roman" w:cs="宋体"/>
                <w:kern w:val="0"/>
                <w:sz w:val="24"/>
                <w:lang w:val="en-US" w:eastAsia="zh-CN"/>
              </w:rPr>
              <w:t>、授权委托书；</w:t>
            </w:r>
          </w:p>
          <w:p w14:paraId="0D9372C4">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Times New Roman" w:cs="宋体"/>
                <w:kern w:val="0"/>
                <w:sz w:val="24"/>
              </w:rPr>
            </w:pPr>
            <w:r>
              <w:rPr>
                <w:rFonts w:hint="eastAsia" w:ascii="仿宋_GB2312" w:cs="宋体"/>
                <w:kern w:val="0"/>
                <w:sz w:val="24"/>
                <w:lang w:val="en-US" w:eastAsia="zh-CN"/>
              </w:rPr>
              <w:t>5</w:t>
            </w:r>
            <w:r>
              <w:rPr>
                <w:rFonts w:hint="eastAsia" w:ascii="仿宋_GB2312" w:hAnsi="Times New Roman" w:cs="宋体"/>
                <w:kern w:val="0"/>
                <w:sz w:val="24"/>
                <w:lang w:val="en-US" w:eastAsia="zh-CN"/>
              </w:rPr>
              <w:t>、经办人身份证明；</w:t>
            </w:r>
          </w:p>
          <w:p w14:paraId="5F2F7D9C">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Times New Roman" w:cs="Times New Roman"/>
                <w:b/>
                <w:bCs/>
                <w:sz w:val="24"/>
                <w:lang w:val="en-US" w:eastAsia="zh-CN" w:bidi="ar"/>
              </w:rPr>
            </w:pPr>
            <w:r>
              <w:rPr>
                <w:rFonts w:hint="eastAsia" w:ascii="仿宋_GB2312" w:hAnsi="Times New Roman" w:cs="Times New Roman"/>
                <w:b/>
                <w:bCs/>
                <w:sz w:val="24"/>
                <w:lang w:val="en-US" w:eastAsia="zh-CN" w:bidi="ar"/>
              </w:rPr>
              <w:t>属</w:t>
            </w:r>
            <w:r>
              <w:rPr>
                <w:rFonts w:hint="eastAsia" w:ascii="仿宋_GB2312" w:cs="Times New Roman"/>
                <w:b/>
                <w:bCs/>
                <w:sz w:val="24"/>
                <w:lang w:val="en-US" w:eastAsia="zh-CN" w:bidi="ar"/>
              </w:rPr>
              <w:t>申请</w:t>
            </w:r>
            <w:r>
              <w:rPr>
                <w:rFonts w:hint="eastAsia" w:ascii="仿宋_GB2312" w:hAnsi="Times New Roman" w:cs="Times New Roman"/>
                <w:b/>
                <w:bCs/>
                <w:sz w:val="24"/>
                <w:lang w:val="en-US" w:eastAsia="zh-CN" w:bidi="ar"/>
              </w:rPr>
              <w:t>增加“开展网络招聘服务”</w:t>
            </w:r>
            <w:r>
              <w:rPr>
                <w:rFonts w:hint="eastAsia" w:ascii="仿宋_GB2312" w:cs="Times New Roman"/>
                <w:b/>
                <w:bCs/>
                <w:sz w:val="24"/>
                <w:lang w:val="en-US" w:eastAsia="zh-CN" w:bidi="ar"/>
              </w:rPr>
              <w:t>服务范围</w:t>
            </w:r>
            <w:r>
              <w:rPr>
                <w:rFonts w:hint="eastAsia" w:ascii="仿宋_GB2312" w:hAnsi="Times New Roman" w:cs="Times New Roman"/>
                <w:b/>
                <w:bCs/>
                <w:sz w:val="24"/>
                <w:lang w:val="en-US" w:eastAsia="zh-CN" w:bidi="ar"/>
              </w:rPr>
              <w:t>的还需提供：</w:t>
            </w:r>
          </w:p>
          <w:p w14:paraId="218A6A47">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Times New Roman" w:cs="Times New Roman"/>
                <w:sz w:val="24"/>
                <w:lang w:bidi="ar"/>
              </w:rPr>
            </w:pPr>
            <w:r>
              <w:rPr>
                <w:rFonts w:hint="eastAsia" w:ascii="仿宋_GB2312" w:cs="Times New Roman"/>
                <w:b w:val="0"/>
                <w:bCs w:val="0"/>
                <w:sz w:val="24"/>
                <w:lang w:val="en-US" w:eastAsia="zh-CN" w:bidi="ar"/>
              </w:rPr>
              <w:t>6、</w:t>
            </w:r>
            <w:r>
              <w:rPr>
                <w:rFonts w:hint="eastAsia" w:ascii="仿宋_GB2312" w:hAnsi="Times New Roman" w:cs="Times New Roman"/>
                <w:sz w:val="24"/>
                <w:lang w:bidi="ar"/>
              </w:rPr>
              <w:t>中华人民共和国</w:t>
            </w:r>
            <w:r>
              <w:rPr>
                <w:rFonts w:hint="eastAsia" w:ascii="仿宋_GB2312" w:hAnsi="Times New Roman" w:cs="Times New Roman"/>
                <w:sz w:val="24"/>
                <w:lang w:eastAsia="zh-CN" w:bidi="ar"/>
              </w:rPr>
              <w:t>电信</w:t>
            </w:r>
            <w:r>
              <w:rPr>
                <w:rFonts w:hint="eastAsia" w:ascii="仿宋_GB2312" w:hAnsi="Times New Roman" w:cs="Times New Roman"/>
                <w:sz w:val="24"/>
                <w:lang w:bidi="ar"/>
              </w:rPr>
              <w:t>业务经营许可证</w:t>
            </w:r>
            <w:r>
              <w:rPr>
                <w:rFonts w:hint="eastAsia" w:ascii="仿宋_GB2312" w:hAnsi="Times New Roman" w:cs="Times New Roman"/>
                <w:sz w:val="24"/>
                <w:lang w:val="en-US" w:eastAsia="zh-CN" w:bidi="ar"/>
              </w:rPr>
              <w:t>。</w:t>
            </w:r>
          </w:p>
        </w:tc>
      </w:tr>
      <w:tr w14:paraId="0CD62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7" w:hRule="atLeast"/>
          <w:jc w:val="center"/>
        </w:trPr>
        <w:tc>
          <w:tcPr>
            <w:tcW w:w="827" w:type="dxa"/>
            <w:noWrap w:val="0"/>
            <w:vAlign w:val="center"/>
          </w:tcPr>
          <w:p w14:paraId="0CC340D2">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5</w:t>
            </w:r>
          </w:p>
        </w:tc>
        <w:tc>
          <w:tcPr>
            <w:tcW w:w="1260" w:type="dxa"/>
            <w:noWrap w:val="0"/>
            <w:vAlign w:val="center"/>
          </w:tcPr>
          <w:p w14:paraId="1CEA0B2F">
            <w:pPr>
              <w:widowControl/>
              <w:spacing w:line="240" w:lineRule="exact"/>
              <w:jc w:val="both"/>
              <w:rPr>
                <w:rFonts w:ascii="仿宋_GB2312" w:hAnsi="Times New Roman" w:cs="宋体"/>
                <w:kern w:val="0"/>
                <w:sz w:val="24"/>
              </w:rPr>
            </w:pPr>
            <w:r>
              <w:rPr>
                <w:rFonts w:hint="eastAsia" w:ascii="华文楷体" w:hAnsi="华文楷体" w:eastAsia="华文楷体" w:cs="宋体"/>
                <w:kern w:val="0"/>
                <w:sz w:val="24"/>
              </w:rPr>
              <w:t>申报条件及标准</w:t>
            </w:r>
          </w:p>
        </w:tc>
        <w:tc>
          <w:tcPr>
            <w:tcW w:w="7206" w:type="dxa"/>
            <w:noWrap w:val="0"/>
            <w:vAlign w:val="center"/>
          </w:tcPr>
          <w:p w14:paraId="694BF000">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both"/>
              <w:textAlignment w:val="auto"/>
              <w:rPr>
                <w:rFonts w:ascii="仿宋_GB2312" w:hAnsi="Times New Roman" w:cs="宋体"/>
                <w:kern w:val="0"/>
                <w:sz w:val="24"/>
              </w:rPr>
            </w:pPr>
            <w:r>
              <w:rPr>
                <w:rFonts w:hint="eastAsia" w:ascii="仿宋_GB2312" w:cs="Times New Roman"/>
                <w:sz w:val="24"/>
                <w:lang w:val="en-US" w:eastAsia="zh-CN" w:bidi="ar"/>
              </w:rPr>
              <w:t>已取得人力资源服务许可证</w:t>
            </w:r>
          </w:p>
        </w:tc>
      </w:tr>
      <w:tr w14:paraId="4803B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8" w:hRule="atLeast"/>
          <w:jc w:val="center"/>
        </w:trPr>
        <w:tc>
          <w:tcPr>
            <w:tcW w:w="827" w:type="dxa"/>
            <w:tcBorders>
              <w:bottom w:val="single" w:color="auto" w:sz="4" w:space="0"/>
            </w:tcBorders>
            <w:noWrap w:val="0"/>
            <w:vAlign w:val="center"/>
          </w:tcPr>
          <w:p w14:paraId="7358870E">
            <w:pPr>
              <w:widowControl/>
              <w:spacing w:line="240" w:lineRule="atLeast"/>
              <w:jc w:val="center"/>
              <w:rPr>
                <w:rFonts w:hint="eastAsia" w:ascii="华文楷体" w:hAnsi="华文楷体" w:eastAsia="华文楷体" w:cs="宋体"/>
                <w:kern w:val="0"/>
                <w:sz w:val="24"/>
                <w:lang w:eastAsia="zh-CN"/>
              </w:rPr>
            </w:pPr>
            <w:r>
              <w:rPr>
                <w:rFonts w:hint="eastAsia" w:ascii="华文楷体" w:hAnsi="华文楷体" w:eastAsia="华文楷体" w:cs="宋体"/>
                <w:kern w:val="0"/>
                <w:sz w:val="24"/>
                <w:lang w:val="en-US" w:eastAsia="zh-CN"/>
              </w:rPr>
              <w:t>6</w:t>
            </w:r>
          </w:p>
        </w:tc>
        <w:tc>
          <w:tcPr>
            <w:tcW w:w="1260" w:type="dxa"/>
            <w:tcBorders>
              <w:bottom w:val="single" w:color="auto" w:sz="4" w:space="0"/>
            </w:tcBorders>
            <w:noWrap w:val="0"/>
            <w:vAlign w:val="center"/>
          </w:tcPr>
          <w:p w14:paraId="2C600497">
            <w:pPr>
              <w:widowControl/>
              <w:spacing w:line="240" w:lineRule="atLeast"/>
              <w:jc w:val="both"/>
              <w:rPr>
                <w:rFonts w:ascii="华文楷体" w:hAnsi="华文楷体" w:eastAsia="华文楷体" w:cs="宋体"/>
                <w:kern w:val="0"/>
                <w:sz w:val="24"/>
              </w:rPr>
            </w:pPr>
            <w:r>
              <w:rPr>
                <w:rFonts w:hint="eastAsia" w:ascii="华文楷体" w:hAnsi="华文楷体" w:eastAsia="华文楷体" w:cs="宋体"/>
                <w:kern w:val="0"/>
                <w:sz w:val="24"/>
              </w:rPr>
              <w:t>办理流程</w:t>
            </w:r>
          </w:p>
        </w:tc>
        <w:tc>
          <w:tcPr>
            <w:tcW w:w="7206" w:type="dxa"/>
            <w:tcBorders>
              <w:top w:val="single" w:color="auto" w:sz="4" w:space="0"/>
              <w:bottom w:val="single" w:color="auto" w:sz="4" w:space="0"/>
            </w:tcBorders>
            <w:noWrap w:val="0"/>
            <w:vAlign w:val="center"/>
          </w:tcPr>
          <w:p w14:paraId="74E41D7E">
            <w:pPr>
              <w:jc w:val="both"/>
              <w:rPr>
                <w:rFonts w:ascii="仿宋_GB2312" w:hAnsi="宋体" w:cs="宋体"/>
                <w:color w:val="000000"/>
                <w:sz w:val="24"/>
              </w:rPr>
            </w:pPr>
            <w:r>
              <w:rPr>
                <w:rFonts w:hint="eastAsia" w:ascii="仿宋_GB2312" w:hAnsi="宋体" w:cs="宋体"/>
                <w:color w:val="000000"/>
                <w:sz w:val="24"/>
              </w:rPr>
              <w:t>受理-审核-办结</w:t>
            </w:r>
          </w:p>
        </w:tc>
      </w:tr>
      <w:tr w14:paraId="33072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827" w:type="dxa"/>
            <w:tcBorders>
              <w:top w:val="single" w:color="auto" w:sz="4" w:space="0"/>
              <w:bottom w:val="single" w:color="auto" w:sz="4" w:space="0"/>
            </w:tcBorders>
            <w:noWrap w:val="0"/>
            <w:vAlign w:val="center"/>
          </w:tcPr>
          <w:p w14:paraId="149C3D17">
            <w:pPr>
              <w:spacing w:line="240" w:lineRule="atLeast"/>
              <w:jc w:val="center"/>
              <w:rPr>
                <w:rFonts w:hint="eastAsia" w:ascii="华文楷体" w:hAnsi="华文楷体" w:eastAsia="华文楷体" w:cs="宋体"/>
                <w:kern w:val="0"/>
                <w:sz w:val="24"/>
                <w:lang w:eastAsia="zh-CN"/>
              </w:rPr>
            </w:pPr>
            <w:r>
              <w:rPr>
                <w:rFonts w:hint="eastAsia" w:ascii="华文楷体" w:hAnsi="华文楷体" w:eastAsia="华文楷体" w:cs="宋体"/>
                <w:kern w:val="0"/>
                <w:sz w:val="24"/>
                <w:lang w:val="en-US" w:eastAsia="zh-CN"/>
              </w:rPr>
              <w:t>7</w:t>
            </w:r>
          </w:p>
        </w:tc>
        <w:tc>
          <w:tcPr>
            <w:tcW w:w="1260" w:type="dxa"/>
            <w:tcBorders>
              <w:top w:val="single" w:color="auto" w:sz="4" w:space="0"/>
              <w:bottom w:val="single" w:color="auto" w:sz="4" w:space="0"/>
            </w:tcBorders>
            <w:noWrap w:val="0"/>
            <w:vAlign w:val="center"/>
          </w:tcPr>
          <w:p w14:paraId="6C71C9BB">
            <w:pPr>
              <w:spacing w:line="220" w:lineRule="exact"/>
              <w:jc w:val="both"/>
              <w:rPr>
                <w:rFonts w:hint="eastAsia" w:ascii="华文楷体" w:hAnsi="华文楷体" w:eastAsia="华文楷体" w:cs="宋体"/>
                <w:kern w:val="0"/>
                <w:sz w:val="24"/>
                <w:lang w:eastAsia="zh-CN"/>
              </w:rPr>
            </w:pPr>
            <w:r>
              <w:rPr>
                <w:rFonts w:hint="eastAsia" w:ascii="华文楷体" w:hAnsi="华文楷体" w:eastAsia="华文楷体" w:cs="宋体"/>
                <w:kern w:val="0"/>
                <w:sz w:val="24"/>
                <w:lang w:eastAsia="zh-CN"/>
              </w:rPr>
              <w:t>法定时限</w:t>
            </w:r>
          </w:p>
        </w:tc>
        <w:tc>
          <w:tcPr>
            <w:tcW w:w="7206" w:type="dxa"/>
            <w:tcBorders>
              <w:top w:val="single" w:color="auto" w:sz="4" w:space="0"/>
              <w:bottom w:val="single" w:color="auto" w:sz="4" w:space="0"/>
            </w:tcBorders>
            <w:noWrap w:val="0"/>
            <w:vAlign w:val="center"/>
          </w:tcPr>
          <w:p w14:paraId="65073AD9">
            <w:pPr>
              <w:spacing w:line="240" w:lineRule="atLeast"/>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shd w:val="clear" w:color="auto" w:fill="FFFFFF"/>
                <w:lang w:val="en-US" w:eastAsia="zh-CN" w:bidi="ar"/>
              </w:rPr>
              <w:t>收到申请之日起20日内依法作出行政许可决定</w:t>
            </w:r>
            <w:r>
              <w:rPr>
                <w:rFonts w:hint="eastAsia" w:ascii="仿宋_GB2312" w:hAnsi="仿宋_GB2312" w:cs="仿宋_GB2312"/>
                <w:kern w:val="0"/>
                <w:sz w:val="24"/>
                <w:szCs w:val="24"/>
                <w:shd w:val="clear" w:color="auto" w:fill="FFFFFF"/>
                <w:lang w:val="en-US" w:eastAsia="zh-CN" w:bidi="ar"/>
              </w:rPr>
              <w:t>，</w:t>
            </w:r>
            <w:r>
              <w:rPr>
                <w:rFonts w:hint="eastAsia" w:ascii="仿宋_GB2312" w:hAnsi="仿宋_GB2312" w:eastAsia="仿宋_GB2312" w:cs="仿宋_GB2312"/>
                <w:sz w:val="24"/>
                <w:szCs w:val="24"/>
                <w:shd w:val="clear" w:color="auto" w:fill="FFFFFF"/>
              </w:rPr>
              <w:t>自作出决定之日起10日内向申请人颁发、送达人力资源服务许可证</w:t>
            </w:r>
            <w:r>
              <w:rPr>
                <w:rFonts w:hint="eastAsia" w:ascii="仿宋_GB2312" w:hAnsi="仿宋_GB2312" w:cs="仿宋_GB2312"/>
                <w:sz w:val="24"/>
                <w:szCs w:val="24"/>
                <w:shd w:val="clear" w:color="auto" w:fill="FFFFFF"/>
                <w:lang w:eastAsia="zh-CN"/>
              </w:rPr>
              <w:t>。</w:t>
            </w:r>
          </w:p>
        </w:tc>
      </w:tr>
      <w:tr w14:paraId="59256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827" w:type="dxa"/>
            <w:tcBorders>
              <w:top w:val="single" w:color="auto" w:sz="4" w:space="0"/>
              <w:bottom w:val="single" w:color="auto" w:sz="4" w:space="0"/>
            </w:tcBorders>
            <w:noWrap w:val="0"/>
            <w:vAlign w:val="center"/>
          </w:tcPr>
          <w:p w14:paraId="016925C6">
            <w:pPr>
              <w:spacing w:line="240" w:lineRule="atLeast"/>
              <w:jc w:val="center"/>
              <w:rPr>
                <w:rFonts w:hint="eastAsia" w:ascii="华文楷体" w:hAnsi="华文楷体" w:eastAsia="华文楷体" w:cs="宋体"/>
                <w:kern w:val="0"/>
                <w:sz w:val="24"/>
                <w:lang w:val="en-US" w:eastAsia="zh-CN"/>
              </w:rPr>
            </w:pPr>
            <w:r>
              <w:rPr>
                <w:rFonts w:hint="eastAsia" w:ascii="华文楷体" w:hAnsi="华文楷体" w:eastAsia="华文楷体" w:cs="宋体"/>
                <w:kern w:val="0"/>
                <w:sz w:val="24"/>
                <w:lang w:val="en-US" w:eastAsia="zh-CN"/>
              </w:rPr>
              <w:t>8</w:t>
            </w:r>
          </w:p>
        </w:tc>
        <w:tc>
          <w:tcPr>
            <w:tcW w:w="1260" w:type="dxa"/>
            <w:tcBorders>
              <w:top w:val="single" w:color="auto" w:sz="4" w:space="0"/>
              <w:bottom w:val="single" w:color="auto" w:sz="4" w:space="0"/>
            </w:tcBorders>
            <w:noWrap w:val="0"/>
            <w:vAlign w:val="center"/>
          </w:tcPr>
          <w:p w14:paraId="1E0FF28E">
            <w:pPr>
              <w:spacing w:line="220" w:lineRule="exact"/>
              <w:jc w:val="both"/>
              <w:rPr>
                <w:rFonts w:hint="eastAsia" w:ascii="华文楷体" w:hAnsi="华文楷体" w:eastAsia="华文楷体" w:cs="宋体"/>
                <w:kern w:val="0"/>
                <w:sz w:val="24"/>
                <w:lang w:eastAsia="zh-CN"/>
              </w:rPr>
            </w:pPr>
            <w:r>
              <w:rPr>
                <w:rFonts w:hint="eastAsia" w:ascii="华文楷体" w:hAnsi="华文楷体" w:eastAsia="华文楷体" w:cs="宋体"/>
                <w:kern w:val="0"/>
                <w:sz w:val="24"/>
                <w:lang w:eastAsia="zh-CN"/>
              </w:rPr>
              <w:t>办理时限</w:t>
            </w:r>
          </w:p>
        </w:tc>
        <w:tc>
          <w:tcPr>
            <w:tcW w:w="7206" w:type="dxa"/>
            <w:tcBorders>
              <w:top w:val="single" w:color="auto" w:sz="4" w:space="0"/>
              <w:bottom w:val="single" w:color="auto" w:sz="4" w:space="0"/>
            </w:tcBorders>
            <w:noWrap w:val="0"/>
            <w:vAlign w:val="center"/>
          </w:tcPr>
          <w:p w14:paraId="7D210F19">
            <w:pPr>
              <w:spacing w:line="240" w:lineRule="atLeast"/>
              <w:jc w:val="both"/>
              <w:rPr>
                <w:rFonts w:hint="eastAsia" w:ascii="仿宋_GB2312" w:hAnsi="Times New Roman" w:cs="宋体"/>
                <w:kern w:val="0"/>
                <w:sz w:val="24"/>
              </w:rPr>
            </w:pPr>
            <w:r>
              <w:rPr>
                <w:rFonts w:hint="eastAsia" w:ascii="仿宋_GB2312" w:hAnsi="宋体" w:cs="宋体"/>
                <w:color w:val="000000"/>
                <w:sz w:val="24"/>
                <w:lang w:eastAsia="zh-CN"/>
              </w:rPr>
              <w:t>即办件</w:t>
            </w:r>
          </w:p>
        </w:tc>
      </w:tr>
      <w:tr w14:paraId="523AB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827" w:type="dxa"/>
            <w:tcBorders>
              <w:top w:val="single" w:color="auto" w:sz="4" w:space="0"/>
              <w:bottom w:val="single" w:color="auto" w:sz="4" w:space="0"/>
            </w:tcBorders>
            <w:noWrap w:val="0"/>
            <w:vAlign w:val="center"/>
          </w:tcPr>
          <w:p w14:paraId="1F07BE55">
            <w:pPr>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9</w:t>
            </w:r>
          </w:p>
        </w:tc>
        <w:tc>
          <w:tcPr>
            <w:tcW w:w="1260" w:type="dxa"/>
            <w:tcBorders>
              <w:top w:val="single" w:color="auto" w:sz="4" w:space="0"/>
              <w:bottom w:val="single" w:color="auto" w:sz="4" w:space="0"/>
            </w:tcBorders>
            <w:noWrap w:val="0"/>
            <w:vAlign w:val="center"/>
          </w:tcPr>
          <w:p w14:paraId="33FFE3D9">
            <w:pPr>
              <w:spacing w:line="220" w:lineRule="exact"/>
              <w:jc w:val="both"/>
              <w:rPr>
                <w:rFonts w:ascii="华文楷体" w:hAnsi="华文楷体" w:eastAsia="华文楷体" w:cs="宋体"/>
                <w:kern w:val="0"/>
                <w:sz w:val="24"/>
              </w:rPr>
            </w:pPr>
            <w:r>
              <w:rPr>
                <w:rFonts w:hint="eastAsia" w:ascii="华文楷体" w:hAnsi="华文楷体" w:eastAsia="华文楷体" w:cs="宋体"/>
                <w:kern w:val="0"/>
                <w:sz w:val="24"/>
              </w:rPr>
              <w:t>收费标准及依据</w:t>
            </w:r>
          </w:p>
        </w:tc>
        <w:tc>
          <w:tcPr>
            <w:tcW w:w="7206" w:type="dxa"/>
            <w:tcBorders>
              <w:top w:val="single" w:color="auto" w:sz="4" w:space="0"/>
              <w:bottom w:val="single" w:color="auto" w:sz="4" w:space="0"/>
            </w:tcBorders>
            <w:noWrap w:val="0"/>
            <w:vAlign w:val="center"/>
          </w:tcPr>
          <w:p w14:paraId="19CEE0CB">
            <w:pPr>
              <w:spacing w:line="240" w:lineRule="atLeast"/>
              <w:jc w:val="both"/>
              <w:rPr>
                <w:rFonts w:ascii="仿宋_GB2312" w:hAnsi="Times New Roman" w:cs="宋体"/>
                <w:kern w:val="0"/>
                <w:sz w:val="24"/>
              </w:rPr>
            </w:pPr>
            <w:r>
              <w:rPr>
                <w:rFonts w:hint="eastAsia" w:ascii="仿宋_GB2312" w:hAnsi="Times New Roman" w:cs="宋体"/>
                <w:kern w:val="0"/>
                <w:sz w:val="24"/>
              </w:rPr>
              <w:t>不收费</w:t>
            </w:r>
          </w:p>
        </w:tc>
      </w:tr>
      <w:tr w14:paraId="03560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9" w:hRule="atLeast"/>
          <w:jc w:val="center"/>
        </w:trPr>
        <w:tc>
          <w:tcPr>
            <w:tcW w:w="827" w:type="dxa"/>
            <w:tcBorders>
              <w:top w:val="single" w:color="auto" w:sz="4" w:space="0"/>
              <w:bottom w:val="single" w:color="auto" w:sz="4" w:space="0"/>
            </w:tcBorders>
            <w:noWrap w:val="0"/>
            <w:vAlign w:val="center"/>
          </w:tcPr>
          <w:p w14:paraId="393E1A71">
            <w:pPr>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10</w:t>
            </w:r>
          </w:p>
        </w:tc>
        <w:tc>
          <w:tcPr>
            <w:tcW w:w="1260" w:type="dxa"/>
            <w:tcBorders>
              <w:top w:val="single" w:color="auto" w:sz="4" w:space="0"/>
              <w:bottom w:val="single" w:color="auto" w:sz="4" w:space="0"/>
            </w:tcBorders>
            <w:noWrap w:val="0"/>
            <w:vAlign w:val="center"/>
          </w:tcPr>
          <w:p w14:paraId="05F04AC4">
            <w:pPr>
              <w:spacing w:line="240" w:lineRule="atLeast"/>
              <w:jc w:val="both"/>
              <w:rPr>
                <w:rFonts w:ascii="华文楷体" w:hAnsi="华文楷体" w:eastAsia="华文楷体" w:cs="宋体"/>
                <w:kern w:val="0"/>
                <w:sz w:val="24"/>
              </w:rPr>
            </w:pPr>
            <w:r>
              <w:rPr>
                <w:rFonts w:hint="eastAsia" w:ascii="华文楷体" w:hAnsi="华文楷体" w:eastAsia="华文楷体" w:cs="宋体"/>
                <w:kern w:val="0"/>
                <w:sz w:val="24"/>
                <w:lang w:eastAsia="zh-CN"/>
              </w:rPr>
              <w:t>容缺受理</w:t>
            </w:r>
          </w:p>
        </w:tc>
        <w:tc>
          <w:tcPr>
            <w:tcW w:w="7206" w:type="dxa"/>
            <w:tcBorders>
              <w:top w:val="single" w:color="auto" w:sz="4" w:space="0"/>
              <w:bottom w:val="single" w:color="auto" w:sz="4" w:space="0"/>
            </w:tcBorders>
            <w:noWrap w:val="0"/>
            <w:vAlign w:val="center"/>
          </w:tcPr>
          <w:p w14:paraId="606A9901">
            <w:pPr>
              <w:spacing w:line="240" w:lineRule="atLeast"/>
              <w:jc w:val="both"/>
              <w:rPr>
                <w:rFonts w:hint="eastAsia" w:ascii="仿宋_GB2312" w:hAnsi="Times New Roman" w:eastAsia="仿宋_GB2312" w:cs="宋体"/>
                <w:kern w:val="0"/>
                <w:sz w:val="24"/>
                <w:lang w:eastAsia="zh-CN"/>
              </w:rPr>
            </w:pPr>
            <w:r>
              <w:rPr>
                <w:rFonts w:hint="eastAsia" w:ascii="仿宋_GB2312" w:cs="宋体"/>
                <w:kern w:val="0"/>
                <w:sz w:val="24"/>
                <w:lang w:eastAsia="zh-CN"/>
              </w:rPr>
              <w:t>否</w:t>
            </w:r>
          </w:p>
        </w:tc>
      </w:tr>
      <w:tr w14:paraId="6BA33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75" w:hRule="atLeast"/>
          <w:jc w:val="center"/>
        </w:trPr>
        <w:tc>
          <w:tcPr>
            <w:tcW w:w="827" w:type="dxa"/>
            <w:tcBorders>
              <w:top w:val="single" w:color="auto" w:sz="4" w:space="0"/>
              <w:bottom w:val="single" w:color="auto" w:sz="4" w:space="0"/>
            </w:tcBorders>
            <w:noWrap w:val="0"/>
            <w:vAlign w:val="center"/>
          </w:tcPr>
          <w:p w14:paraId="3D51B06A">
            <w:pPr>
              <w:spacing w:line="240" w:lineRule="atLeast"/>
              <w:jc w:val="center"/>
              <w:rPr>
                <w:rFonts w:hint="eastAsia" w:ascii="华文楷体" w:hAnsi="华文楷体" w:eastAsia="华文楷体" w:cs="宋体"/>
                <w:kern w:val="0"/>
                <w:sz w:val="24"/>
                <w:lang w:val="en-US" w:eastAsia="zh-CN"/>
              </w:rPr>
            </w:pPr>
            <w:r>
              <w:rPr>
                <w:rFonts w:hint="eastAsia" w:ascii="华文楷体" w:hAnsi="华文楷体" w:eastAsia="华文楷体" w:cs="宋体"/>
                <w:kern w:val="0"/>
                <w:sz w:val="24"/>
                <w:lang w:val="en-US" w:eastAsia="zh-CN"/>
              </w:rPr>
              <w:t>11</w:t>
            </w:r>
          </w:p>
        </w:tc>
        <w:tc>
          <w:tcPr>
            <w:tcW w:w="1260" w:type="dxa"/>
            <w:tcBorders>
              <w:top w:val="single" w:color="auto" w:sz="4" w:space="0"/>
              <w:bottom w:val="single" w:color="auto" w:sz="4" w:space="0"/>
            </w:tcBorders>
            <w:noWrap w:val="0"/>
            <w:vAlign w:val="center"/>
          </w:tcPr>
          <w:p w14:paraId="7A4D8CE9">
            <w:pPr>
              <w:spacing w:line="240" w:lineRule="atLeast"/>
              <w:jc w:val="both"/>
              <w:rPr>
                <w:rFonts w:hint="eastAsia" w:ascii="华文楷体" w:hAnsi="华文楷体" w:eastAsia="华文楷体" w:cs="宋体"/>
                <w:kern w:val="0"/>
                <w:sz w:val="24"/>
                <w:lang w:eastAsia="zh-CN"/>
              </w:rPr>
            </w:pPr>
            <w:r>
              <w:rPr>
                <w:rFonts w:hint="eastAsia" w:ascii="华文楷体" w:hAnsi="华文楷体" w:eastAsia="华文楷体" w:cs="宋体"/>
                <w:kern w:val="0"/>
                <w:sz w:val="24"/>
                <w:lang w:eastAsia="zh-CN"/>
              </w:rPr>
              <w:t>办理结果</w:t>
            </w:r>
          </w:p>
        </w:tc>
        <w:tc>
          <w:tcPr>
            <w:tcW w:w="7206" w:type="dxa"/>
            <w:tcBorders>
              <w:top w:val="single" w:color="auto" w:sz="4" w:space="0"/>
              <w:bottom w:val="single" w:color="auto" w:sz="4" w:space="0"/>
            </w:tcBorders>
            <w:noWrap w:val="0"/>
            <w:vAlign w:val="center"/>
          </w:tcPr>
          <w:p w14:paraId="1D00719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Times New Roman" w:eastAsia="仿宋_GB2312" w:cs="宋体"/>
                <w:kern w:val="0"/>
                <w:sz w:val="24"/>
                <w:lang w:eastAsia="zh-CN"/>
              </w:rPr>
            </w:pPr>
            <w:r>
              <w:rPr>
                <w:rFonts w:hint="eastAsia" w:ascii="仿宋_GB2312" w:hAnsi="Times New Roman" w:cs="宋体"/>
                <w:kern w:val="0"/>
                <w:sz w:val="24"/>
              </w:rPr>
              <w:t>符合条件的，</w:t>
            </w:r>
            <w:r>
              <w:rPr>
                <w:rFonts w:hint="eastAsia" w:ascii="仿宋_GB2312" w:cs="宋体"/>
                <w:kern w:val="0"/>
                <w:sz w:val="24"/>
                <w:lang w:eastAsia="zh-CN"/>
              </w:rPr>
              <w:t>换</w:t>
            </w:r>
            <w:r>
              <w:rPr>
                <w:rFonts w:hint="eastAsia" w:ascii="仿宋_GB2312" w:hAnsi="Times New Roman" w:cs="宋体"/>
                <w:kern w:val="0"/>
                <w:sz w:val="24"/>
              </w:rPr>
              <w:t>发人力资源服务许可证</w:t>
            </w:r>
            <w:r>
              <w:rPr>
                <w:rFonts w:hint="eastAsia" w:ascii="仿宋_GB2312" w:hAnsi="Times New Roman" w:cs="宋体"/>
                <w:kern w:val="0"/>
                <w:sz w:val="24"/>
                <w:lang w:eastAsia="zh-CN"/>
              </w:rPr>
              <w:t>。</w:t>
            </w:r>
            <w:r>
              <w:rPr>
                <w:rFonts w:hint="eastAsia" w:ascii="仿宋_GB2312" w:cs="宋体"/>
                <w:kern w:val="0"/>
                <w:sz w:val="24"/>
                <w:lang w:eastAsia="zh-CN"/>
              </w:rPr>
              <w:t>其中，属增加“开展网络招聘服务”范围的</w:t>
            </w:r>
            <w:r>
              <w:rPr>
                <w:rFonts w:hint="eastAsia" w:ascii="仿宋_GB2312" w:hAnsi="Times New Roman" w:cs="宋体"/>
                <w:kern w:val="0"/>
                <w:sz w:val="24"/>
                <w:lang w:eastAsia="zh-CN"/>
              </w:rPr>
              <w:t>，在</w:t>
            </w:r>
            <w:r>
              <w:rPr>
                <w:rFonts w:hint="eastAsia" w:ascii="仿宋_GB2312" w:cs="宋体"/>
                <w:kern w:val="0"/>
                <w:sz w:val="24"/>
                <w:lang w:eastAsia="zh-CN"/>
              </w:rPr>
              <w:t>许可证</w:t>
            </w:r>
            <w:r>
              <w:rPr>
                <w:rFonts w:hint="eastAsia" w:ascii="仿宋_GB2312" w:hAnsi="Times New Roman" w:cs="宋体"/>
                <w:kern w:val="0"/>
                <w:sz w:val="24"/>
                <w:lang w:eastAsia="zh-CN"/>
              </w:rPr>
              <w:t>服务范围中注明“开展网络招聘服务”</w:t>
            </w:r>
            <w:r>
              <w:rPr>
                <w:rFonts w:hint="eastAsia" w:ascii="仿宋_GB2312" w:cs="宋体"/>
                <w:kern w:val="0"/>
                <w:sz w:val="24"/>
                <w:lang w:eastAsia="zh-CN"/>
              </w:rPr>
              <w:t>。</w:t>
            </w:r>
          </w:p>
        </w:tc>
      </w:tr>
    </w:tbl>
    <w:p w14:paraId="01B676F1">
      <w:pPr>
        <w:widowControl w:val="0"/>
        <w:autoSpaceDE w:val="0"/>
        <w:autoSpaceDN w:val="0"/>
        <w:adjustRightInd w:val="0"/>
        <w:rPr>
          <w:rFonts w:hint="eastAsia" w:ascii="华文仿宋" w:hAnsi="华文仿宋" w:eastAsia="华文仿宋" w:cs="华文仿宋"/>
          <w:b w:val="0"/>
          <w:bCs/>
          <w:color w:val="000000"/>
          <w:sz w:val="32"/>
          <w:szCs w:val="32"/>
          <w:lang w:val="en-US" w:eastAsia="zh-CN" w:bidi="ar-SA"/>
        </w:rPr>
      </w:pPr>
    </w:p>
    <w:p w14:paraId="58ED738D">
      <w:pPr>
        <w:widowControl w:val="0"/>
        <w:autoSpaceDE w:val="0"/>
        <w:autoSpaceDN w:val="0"/>
        <w:adjustRightInd w:val="0"/>
        <w:rPr>
          <w:rFonts w:hint="eastAsia" w:ascii="华文仿宋" w:hAnsi="华文仿宋" w:eastAsia="华文仿宋" w:cs="华文仿宋"/>
          <w:b w:val="0"/>
          <w:bCs/>
          <w:color w:val="000000"/>
          <w:sz w:val="32"/>
          <w:szCs w:val="32"/>
          <w:lang w:val="en-US" w:eastAsia="zh-CN" w:bidi="ar-SA"/>
        </w:rPr>
      </w:pPr>
    </w:p>
    <w:p w14:paraId="75699844">
      <w:pPr>
        <w:widowControl w:val="0"/>
        <w:autoSpaceDE w:val="0"/>
        <w:autoSpaceDN w:val="0"/>
        <w:adjustRightInd w:val="0"/>
        <w:rPr>
          <w:rFonts w:hint="eastAsia" w:ascii="华文仿宋" w:hAnsi="华文仿宋" w:eastAsia="华文仿宋" w:cs="华文仿宋"/>
          <w:b w:val="0"/>
          <w:bCs/>
          <w:color w:val="000000"/>
          <w:sz w:val="32"/>
          <w:szCs w:val="32"/>
          <w:lang w:val="en-US" w:eastAsia="zh-CN" w:bidi="ar-SA"/>
        </w:rPr>
      </w:pPr>
    </w:p>
    <w:p w14:paraId="2CB427A1">
      <w:pPr>
        <w:widowControl w:val="0"/>
        <w:autoSpaceDE w:val="0"/>
        <w:autoSpaceDN w:val="0"/>
        <w:adjustRightInd w:val="0"/>
        <w:rPr>
          <w:rFonts w:hint="eastAsia" w:ascii="华文仿宋" w:hAnsi="华文仿宋" w:eastAsia="华文仿宋" w:cs="华文仿宋"/>
          <w:b w:val="0"/>
          <w:bCs/>
          <w:color w:val="000000"/>
          <w:sz w:val="32"/>
          <w:szCs w:val="32"/>
          <w:lang w:val="en-US" w:eastAsia="zh-CN" w:bidi="ar-SA"/>
        </w:rPr>
      </w:pPr>
    </w:p>
    <w:p w14:paraId="181B98F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EF91E"/>
    <w:multiLevelType w:val="singleLevel"/>
    <w:tmpl w:val="F75EF9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24C83"/>
    <w:rsid w:val="7BA24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2025-04-24T02:40:00Z</dcterms:created>
  <dc:creator>彩虹</dc:creator>
  <cp:lastModifiedBy>彩虹</cp:lastModifiedBy>
  <dcterms:modified xsi:type="dcterms:W3CDTF">2025-04-24T02:41:33Z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B10DAE2521E441FF8783CE2BCFA09836_11</vt:lpwstr>
  </property>
  <property fmtid="{D5CDD505-2E9C-101B-9397-08002B2CF9AE}" pid="4" name="KSOTemplateDocerSaveRecord">
    <vt:lpwstr>eyJoZGlkIjoiM2RkOTc3OWNmN2I4YTNmZDAxZTRmZGUzOWNlOTEyMDciLCJ1c2VySWQiOiIxMDQ0MjkxMTYxIn0=</vt:lpwstr>
  </property>
</Properties>
</file>